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711" w:rsidRDefault="00715711">
      <w:pPr>
        <w:pBdr>
          <w:top w:val="nil"/>
          <w:left w:val="nil"/>
          <w:bottom w:val="nil"/>
          <w:right w:val="nil"/>
          <w:between w:val="nil"/>
        </w:pBdr>
        <w:spacing w:line="276" w:lineRule="auto"/>
      </w:pPr>
    </w:p>
    <w:p w:rsidR="00715711" w:rsidRDefault="00A778ED">
      <w:pPr>
        <w:tabs>
          <w:tab w:val="left" w:pos="6684"/>
          <w:tab w:val="left" w:pos="7743"/>
        </w:tabs>
        <w:spacing w:before="16" w:line="254" w:lineRule="auto"/>
        <w:ind w:left="954" w:right="186"/>
      </w:pPr>
      <w:r>
        <w:tab/>
      </w:r>
      <w:r>
        <w:tab/>
      </w:r>
    </w:p>
    <w:p w:rsidR="00715711" w:rsidRDefault="00A778ED" w:rsidP="00327621">
      <w:pPr>
        <w:ind w:left="567" w:right="567"/>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Percepción Remota 20</w:t>
      </w:r>
      <w:r w:rsidR="00DE4155">
        <w:rPr>
          <w:rFonts w:ascii="Times New Roman" w:eastAsia="Times New Roman" w:hAnsi="Times New Roman" w:cs="Times New Roman"/>
          <w:b/>
          <w:sz w:val="32"/>
          <w:szCs w:val="32"/>
        </w:rPr>
        <w:t>20</w:t>
      </w:r>
    </w:p>
    <w:p w:rsidR="00715711" w:rsidRDefault="00715711">
      <w:pPr>
        <w:ind w:left="3527" w:right="3335"/>
        <w:jc w:val="center"/>
        <w:rPr>
          <w:rFonts w:ascii="Times New Roman" w:eastAsia="Times New Roman" w:hAnsi="Times New Roman" w:cs="Times New Roman"/>
          <w:b/>
          <w:sz w:val="32"/>
          <w:szCs w:val="32"/>
          <w:u w:val="single"/>
        </w:rPr>
      </w:pPr>
    </w:p>
    <w:p w:rsidR="00715711" w:rsidRDefault="00A778ED">
      <w:pPr>
        <w:pStyle w:val="Ttulo2"/>
        <w:ind w:firstLine="446"/>
        <w:jc w:val="center"/>
        <w:rPr>
          <w:rFonts w:ascii="Times New Roman" w:eastAsia="Times New Roman" w:hAnsi="Times New Roman" w:cs="Times New Roman"/>
        </w:rPr>
      </w:pPr>
      <w:r>
        <w:rPr>
          <w:rFonts w:ascii="Times New Roman" w:eastAsia="Times New Roman" w:hAnsi="Times New Roman" w:cs="Times New Roman"/>
        </w:rPr>
        <w:t>Practico 6: “índices y Trasformaciones Globales”</w:t>
      </w:r>
    </w:p>
    <w:p w:rsidR="00715711" w:rsidRDefault="00A778ED">
      <w:pPr>
        <w:pStyle w:val="Ttulo3"/>
        <w:spacing w:before="21"/>
        <w:ind w:left="313"/>
        <w:jc w:val="both"/>
        <w:rPr>
          <w:rFonts w:ascii="Times New Roman" w:eastAsia="Times New Roman" w:hAnsi="Times New Roman" w:cs="Times New Roman"/>
        </w:rPr>
      </w:pPr>
      <w:r>
        <w:rPr>
          <w:rFonts w:ascii="Times New Roman" w:eastAsia="Times New Roman" w:hAnsi="Times New Roman" w:cs="Times New Roman"/>
        </w:rPr>
        <w:t>Objetivos:</w:t>
      </w:r>
    </w:p>
    <w:p w:rsidR="00715711" w:rsidRDefault="00A778ED">
      <w:pPr>
        <w:numPr>
          <w:ilvl w:val="0"/>
          <w:numId w:val="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 xml:space="preserve">Comprender la importancia de los índices espectrales, principales usos y aplicaciones. </w:t>
      </w:r>
    </w:p>
    <w:p w:rsidR="00715711" w:rsidRDefault="00A778ED">
      <w:pPr>
        <w:numPr>
          <w:ilvl w:val="0"/>
          <w:numId w:val="1"/>
        </w:num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Aprender las bases teóricas y prácticas de las principales transformaciones globales de imágenes.</w:t>
      </w:r>
    </w:p>
    <w:p w:rsidR="00715711" w:rsidRDefault="00715711">
      <w:pPr>
        <w:pBdr>
          <w:top w:val="nil"/>
          <w:left w:val="nil"/>
          <w:bottom w:val="nil"/>
          <w:right w:val="nil"/>
          <w:between w:val="nil"/>
        </w:pBdr>
        <w:ind w:left="1034" w:hanging="360"/>
        <w:rPr>
          <w:rFonts w:ascii="Times New Roman" w:eastAsia="Times New Roman" w:hAnsi="Times New Roman" w:cs="Times New Roman"/>
          <w:color w:val="000000"/>
        </w:rPr>
      </w:pPr>
    </w:p>
    <w:p w:rsidR="00715711" w:rsidRDefault="00A778ED">
      <w:pPr>
        <w:numPr>
          <w:ilvl w:val="0"/>
          <w:numId w:val="2"/>
        </w:numPr>
        <w:pBdr>
          <w:top w:val="nil"/>
          <w:left w:val="nil"/>
          <w:bottom w:val="nil"/>
          <w:right w:val="nil"/>
          <w:between w:val="nil"/>
        </w:pBd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Índices Espectrales </w:t>
      </w:r>
    </w:p>
    <w:p w:rsidR="00715711" w:rsidRDefault="00A778E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Los índices espectrales corresponden a un tipo de transformaciones globales desarrolladas para caracterizar de mejor forma distintos tipos de coberturas de la superficie terrestre, mediante el refuerzo de la contribución espectral de cierta cobertura y la </w:t>
      </w:r>
      <w:r>
        <w:rPr>
          <w:rFonts w:ascii="Times New Roman" w:eastAsia="Times New Roman" w:hAnsi="Times New Roman" w:cs="Times New Roman"/>
          <w:sz w:val="24"/>
          <w:szCs w:val="24"/>
        </w:rPr>
        <w:t>minimización espectral de otras coberturas y/o factores distorsionantes. De estos, destacan los índices de vegetación, los cuales generalmente mejoran la discriminación de la vegetación, reduciendo otros efectos espectrales (</w:t>
      </w:r>
      <w:proofErr w:type="spellStart"/>
      <w:r>
        <w:rPr>
          <w:rFonts w:ascii="Times New Roman" w:eastAsia="Times New Roman" w:hAnsi="Times New Roman" w:cs="Times New Roman"/>
          <w:sz w:val="24"/>
          <w:szCs w:val="24"/>
        </w:rPr>
        <w:t>Chuvieco</w:t>
      </w:r>
      <w:proofErr w:type="spellEnd"/>
      <w:r>
        <w:rPr>
          <w:rFonts w:ascii="Times New Roman" w:eastAsia="Times New Roman" w:hAnsi="Times New Roman" w:cs="Times New Roman"/>
          <w:sz w:val="24"/>
          <w:szCs w:val="24"/>
        </w:rPr>
        <w:t>, 2008). Muchos de esto</w:t>
      </w:r>
      <w:r>
        <w:rPr>
          <w:rFonts w:ascii="Times New Roman" w:eastAsia="Times New Roman" w:hAnsi="Times New Roman" w:cs="Times New Roman"/>
          <w:sz w:val="24"/>
          <w:szCs w:val="24"/>
        </w:rPr>
        <w:t>s índices son derivados del peculiar comportamiento radiométrico en un rango del espectro electromagnético de los objetos, por ejemplo, la vegetación presenta una la baja reflectividad en el rojo (R) y alta en el infrarrojo cercano (NIR). En términos práct</w:t>
      </w:r>
      <w:r>
        <w:rPr>
          <w:rFonts w:ascii="Times New Roman" w:eastAsia="Times New Roman" w:hAnsi="Times New Roman" w:cs="Times New Roman"/>
          <w:sz w:val="24"/>
          <w:szCs w:val="24"/>
        </w:rPr>
        <w:t>icos, estos corresponden a distintas operaciones algebraicas realizadas entre las bandas de un determinado sensor.</w:t>
      </w:r>
    </w:p>
    <w:p w:rsidR="00715711" w:rsidRDefault="00715711">
      <w:pPr>
        <w:jc w:val="both"/>
        <w:rPr>
          <w:rFonts w:ascii="Times New Roman" w:eastAsia="Times New Roman" w:hAnsi="Times New Roman" w:cs="Times New Roman"/>
          <w:sz w:val="24"/>
          <w:szCs w:val="24"/>
        </w:rPr>
      </w:pPr>
    </w:p>
    <w:p w:rsidR="00715711" w:rsidRDefault="00A778ED">
      <w:pPr>
        <w:jc w:val="center"/>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drawing>
          <wp:inline distT="0" distB="0" distL="0" distR="0">
            <wp:extent cx="3988637" cy="2386436"/>
            <wp:effectExtent l="0" t="0" r="0" b="0"/>
            <wp:docPr id="155899061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9"/>
                    <a:srcRect/>
                    <a:stretch>
                      <a:fillRect/>
                    </a:stretch>
                  </pic:blipFill>
                  <pic:spPr>
                    <a:xfrm>
                      <a:off x="0" y="0"/>
                      <a:ext cx="3988637" cy="2386436"/>
                    </a:xfrm>
                    <a:prstGeom prst="rect">
                      <a:avLst/>
                    </a:prstGeom>
                    <a:ln/>
                  </pic:spPr>
                </pic:pic>
              </a:graphicData>
            </a:graphic>
          </wp:inline>
        </w:drawing>
      </w:r>
    </w:p>
    <w:p w:rsidR="00947F6D" w:rsidRDefault="00947F6D">
      <w:pPr>
        <w:jc w:val="both"/>
        <w:rPr>
          <w:rFonts w:ascii="Times New Roman" w:eastAsia="Times New Roman" w:hAnsi="Times New Roman" w:cs="Times New Roman"/>
          <w:b/>
          <w:sz w:val="24"/>
          <w:szCs w:val="24"/>
          <w:u w:val="single"/>
        </w:rPr>
      </w:pPr>
    </w:p>
    <w:p w:rsidR="00947F6D" w:rsidRDefault="00947F6D">
      <w:pPr>
        <w:jc w:val="both"/>
        <w:rPr>
          <w:rFonts w:ascii="Times New Roman" w:eastAsia="Times New Roman" w:hAnsi="Times New Roman" w:cs="Times New Roman"/>
          <w:b/>
          <w:sz w:val="24"/>
          <w:szCs w:val="24"/>
          <w:u w:val="single"/>
        </w:rPr>
      </w:pPr>
    </w:p>
    <w:p w:rsidR="00947F6D" w:rsidRDefault="00947F6D">
      <w:pPr>
        <w:jc w:val="both"/>
        <w:rPr>
          <w:rFonts w:ascii="Times New Roman" w:eastAsia="Times New Roman" w:hAnsi="Times New Roman" w:cs="Times New Roman"/>
          <w:b/>
          <w:sz w:val="24"/>
          <w:szCs w:val="24"/>
          <w:u w:val="single"/>
        </w:rPr>
      </w:pPr>
    </w:p>
    <w:p w:rsidR="00DE4155" w:rsidRDefault="00DE4155">
      <w:pPr>
        <w:jc w:val="both"/>
        <w:rPr>
          <w:rFonts w:ascii="Times New Roman" w:eastAsia="Times New Roman" w:hAnsi="Times New Roman" w:cs="Times New Roman"/>
          <w:b/>
          <w:sz w:val="24"/>
          <w:szCs w:val="24"/>
          <w:u w:val="single"/>
        </w:rPr>
      </w:pPr>
    </w:p>
    <w:p w:rsidR="00DE4155" w:rsidRDefault="00DE4155">
      <w:pPr>
        <w:jc w:val="both"/>
        <w:rPr>
          <w:rFonts w:ascii="Times New Roman" w:eastAsia="Times New Roman" w:hAnsi="Times New Roman" w:cs="Times New Roman"/>
          <w:b/>
          <w:sz w:val="24"/>
          <w:szCs w:val="24"/>
          <w:u w:val="single"/>
        </w:rPr>
      </w:pPr>
    </w:p>
    <w:p w:rsidR="00DE4155" w:rsidRDefault="00DE4155">
      <w:pPr>
        <w:jc w:val="both"/>
        <w:rPr>
          <w:rFonts w:ascii="Times New Roman" w:eastAsia="Times New Roman" w:hAnsi="Times New Roman" w:cs="Times New Roman"/>
          <w:b/>
          <w:sz w:val="24"/>
          <w:szCs w:val="24"/>
          <w:u w:val="single"/>
        </w:rPr>
      </w:pPr>
      <w:bookmarkStart w:id="0" w:name="_GoBack"/>
      <w:bookmarkEnd w:id="0"/>
    </w:p>
    <w:p w:rsidR="00947F6D" w:rsidRDefault="00947F6D">
      <w:pPr>
        <w:jc w:val="both"/>
        <w:rPr>
          <w:rFonts w:ascii="Times New Roman" w:eastAsia="Times New Roman" w:hAnsi="Times New Roman" w:cs="Times New Roman"/>
          <w:b/>
          <w:sz w:val="24"/>
          <w:szCs w:val="24"/>
          <w:u w:val="single"/>
        </w:rPr>
      </w:pPr>
    </w:p>
    <w:p w:rsidR="00715711" w:rsidRDefault="00A778ED">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lastRenderedPageBreak/>
        <w:t>Ejemplos:</w:t>
      </w:r>
    </w:p>
    <w:p w:rsidR="00715711" w:rsidRDefault="00A778ED">
      <w:pPr>
        <w:widowControl/>
        <w:numPr>
          <w:ilvl w:val="0"/>
          <w:numId w:val="4"/>
        </w:num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Índice de Vegetación de Diferencia Normalizada “</w:t>
      </w:r>
      <w:proofErr w:type="spellStart"/>
      <w:r>
        <w:rPr>
          <w:rFonts w:ascii="Times New Roman" w:eastAsia="Times New Roman" w:hAnsi="Times New Roman" w:cs="Times New Roman"/>
          <w:color w:val="000000"/>
          <w:sz w:val="24"/>
          <w:szCs w:val="24"/>
        </w:rPr>
        <w:t>Normalized</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Difference</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Vegetation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Index</w:t>
      </w:r>
      <w:proofErr w:type="spellEnd"/>
      <w:r>
        <w:rPr>
          <w:rFonts w:ascii="Times New Roman" w:eastAsia="Times New Roman" w:hAnsi="Times New Roman" w:cs="Times New Roman"/>
          <w:color w:val="000000"/>
          <w:sz w:val="24"/>
          <w:szCs w:val="24"/>
        </w:rPr>
        <w:t>” (NDVI):</w:t>
      </w:r>
    </w:p>
    <w:p w:rsidR="00715711" w:rsidRDefault="00715711">
      <w:pPr>
        <w:ind w:left="360"/>
        <w:rPr>
          <w:rFonts w:ascii="Times New Roman" w:eastAsia="Times New Roman" w:hAnsi="Times New Roman" w:cs="Times New Roman"/>
          <w:sz w:val="24"/>
          <w:szCs w:val="24"/>
        </w:rPr>
      </w:pPr>
    </w:p>
    <w:p w:rsidR="00715711" w:rsidRDefault="00A778ED">
      <w:pPr>
        <w:ind w:left="360"/>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extent cx="3328988" cy="720709"/>
            <wp:effectExtent l="0" t="0" r="0" b="0"/>
            <wp:docPr id="155899061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l="33541" t="51111" r="38541" b="38148"/>
                    <a:stretch>
                      <a:fillRect/>
                    </a:stretch>
                  </pic:blipFill>
                  <pic:spPr>
                    <a:xfrm>
                      <a:off x="0" y="0"/>
                      <a:ext cx="3328988" cy="720709"/>
                    </a:xfrm>
                    <a:prstGeom prst="rect">
                      <a:avLst/>
                    </a:prstGeom>
                    <a:ln/>
                  </pic:spPr>
                </pic:pic>
              </a:graphicData>
            </a:graphic>
          </wp:inline>
        </w:drawing>
      </w:r>
    </w:p>
    <w:p w:rsidR="00715711" w:rsidRDefault="00A778ED">
      <w:pPr>
        <w:pBdr>
          <w:top w:val="nil"/>
          <w:left w:val="nil"/>
          <w:bottom w:val="nil"/>
          <w:right w:val="nil"/>
          <w:between w:val="nil"/>
        </w:pBdr>
        <w:rPr>
          <w:rFonts w:ascii="Times New Roman" w:eastAsia="Times New Roman" w:hAnsi="Times New Roman" w:cs="Times New Roman"/>
          <w:color w:val="000000"/>
        </w:rPr>
      </w:pPr>
      <w:r>
        <w:rPr>
          <w:rFonts w:ascii="Times New Roman" w:eastAsia="Times New Roman" w:hAnsi="Times New Roman" w:cs="Times New Roman"/>
          <w:color w:val="000000"/>
        </w:rPr>
        <w:t>En donde ρ representa la reflectividad del píxel en la banda del infrarrojo cercano (NIR) y del rojo (R) respectivamente. El NDVI varía entre -1 y +1, lo cual facilita su comparabilidad e interpretación. Empíricamente, se puede considerar que un NDVI mayor</w:t>
      </w:r>
      <w:r>
        <w:rPr>
          <w:rFonts w:ascii="Times New Roman" w:eastAsia="Times New Roman" w:hAnsi="Times New Roman" w:cs="Times New Roman"/>
          <w:color w:val="000000"/>
        </w:rPr>
        <w:t xml:space="preserve"> a 0,1 representa una cubierta vegetal (bajo este umbral, son otros tipos de coberturas), y entre 0,5 y 0,7 vegetación densa con un elevado vigor (a más NDVI, más vigor) (</w:t>
      </w:r>
      <w:proofErr w:type="spellStart"/>
      <w:r>
        <w:rPr>
          <w:rFonts w:ascii="Times New Roman" w:eastAsia="Times New Roman" w:hAnsi="Times New Roman" w:cs="Times New Roman"/>
          <w:color w:val="000000"/>
        </w:rPr>
        <w:t>Chuvieco</w:t>
      </w:r>
      <w:proofErr w:type="spellEnd"/>
      <w:r>
        <w:rPr>
          <w:rFonts w:ascii="Times New Roman" w:eastAsia="Times New Roman" w:hAnsi="Times New Roman" w:cs="Times New Roman"/>
          <w:color w:val="000000"/>
        </w:rPr>
        <w:t>, 2008).</w:t>
      </w:r>
    </w:p>
    <w:p w:rsidR="00715711" w:rsidRDefault="00715711">
      <w:pPr>
        <w:pBdr>
          <w:top w:val="nil"/>
          <w:left w:val="nil"/>
          <w:bottom w:val="nil"/>
          <w:right w:val="nil"/>
          <w:between w:val="nil"/>
        </w:pBdr>
        <w:rPr>
          <w:rFonts w:ascii="Times New Roman" w:eastAsia="Times New Roman" w:hAnsi="Times New Roman" w:cs="Times New Roman"/>
          <w:color w:val="000000"/>
        </w:rPr>
      </w:pPr>
    </w:p>
    <w:p w:rsidR="00715711" w:rsidRDefault="00715711">
      <w:pPr>
        <w:pBdr>
          <w:top w:val="nil"/>
          <w:left w:val="nil"/>
          <w:bottom w:val="nil"/>
          <w:right w:val="nil"/>
          <w:between w:val="nil"/>
        </w:pBdr>
        <w:rPr>
          <w:rFonts w:ascii="Times New Roman" w:eastAsia="Times New Roman" w:hAnsi="Times New Roman" w:cs="Times New Roman"/>
          <w:color w:val="000000"/>
        </w:rPr>
      </w:pPr>
    </w:p>
    <w:p w:rsidR="00715711" w:rsidRDefault="00715711">
      <w:pPr>
        <w:pBdr>
          <w:top w:val="nil"/>
          <w:left w:val="nil"/>
          <w:bottom w:val="nil"/>
          <w:right w:val="nil"/>
          <w:between w:val="nil"/>
        </w:pBdr>
        <w:rPr>
          <w:rFonts w:ascii="Times New Roman" w:eastAsia="Times New Roman" w:hAnsi="Times New Roman" w:cs="Times New Roman"/>
          <w:color w:val="000000"/>
        </w:rPr>
      </w:pPr>
    </w:p>
    <w:p w:rsidR="00715711" w:rsidRDefault="00A778ED">
      <w:pPr>
        <w:widowControl/>
        <w:numPr>
          <w:ilvl w:val="0"/>
          <w:numId w:val="3"/>
        </w:numPr>
        <w:pBdr>
          <w:top w:val="nil"/>
          <w:left w:val="nil"/>
          <w:bottom w:val="nil"/>
          <w:right w:val="nil"/>
          <w:between w:val="nil"/>
        </w:pBdr>
        <w:spacing w:after="160" w:line="259"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Índice de vegetación ajustado al suelo “</w:t>
      </w:r>
      <w:proofErr w:type="spellStart"/>
      <w:r>
        <w:rPr>
          <w:rFonts w:ascii="Times New Roman" w:eastAsia="Times New Roman" w:hAnsi="Times New Roman" w:cs="Times New Roman"/>
          <w:color w:val="000000"/>
        </w:rPr>
        <w:t>Soil</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Adjusted</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Vegetation</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Index</w:t>
      </w:r>
      <w:proofErr w:type="spellEnd"/>
      <w:r>
        <w:rPr>
          <w:rFonts w:ascii="Times New Roman" w:eastAsia="Times New Roman" w:hAnsi="Times New Roman" w:cs="Times New Roman"/>
          <w:color w:val="000000"/>
        </w:rPr>
        <w:t xml:space="preserve"> (SAVI):</w:t>
      </w:r>
    </w:p>
    <w:p w:rsidR="00715711" w:rsidRDefault="00A778ED">
      <w:pPr>
        <w:ind w:left="360"/>
        <w:jc w:val="center"/>
        <w:rPr>
          <w:rFonts w:ascii="Times New Roman" w:eastAsia="Times New Roman" w:hAnsi="Times New Roman" w:cs="Times New Roman"/>
        </w:rPr>
      </w:pPr>
      <w:r>
        <w:rPr>
          <w:rFonts w:ascii="Times New Roman" w:eastAsia="Times New Roman" w:hAnsi="Times New Roman" w:cs="Times New Roman"/>
          <w:noProof/>
        </w:rPr>
        <w:drawing>
          <wp:inline distT="0" distB="0" distL="0" distR="0">
            <wp:extent cx="4480688" cy="800164"/>
            <wp:effectExtent l="0" t="0" r="0" b="0"/>
            <wp:docPr id="1558990617"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1"/>
                    <a:srcRect l="31458" t="30370" r="33540" b="58517"/>
                    <a:stretch>
                      <a:fillRect/>
                    </a:stretch>
                  </pic:blipFill>
                  <pic:spPr>
                    <a:xfrm>
                      <a:off x="0" y="0"/>
                      <a:ext cx="4480688" cy="800164"/>
                    </a:xfrm>
                    <a:prstGeom prst="rect">
                      <a:avLst/>
                    </a:prstGeom>
                    <a:ln/>
                  </pic:spPr>
                </pic:pic>
              </a:graphicData>
            </a:graphic>
          </wp:inline>
        </w:drawing>
      </w:r>
    </w:p>
    <w:p w:rsidR="00715711" w:rsidRDefault="00A778E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En donde ρ representa la reflectividad del píxel en la banda del infrarrojo cercano (NIR) y del rojo (R) respectivamente. El parámetro L corresponde a una constante que permit</w:t>
      </w:r>
      <w:r>
        <w:rPr>
          <w:rFonts w:ascii="Times New Roman" w:eastAsia="Times New Roman" w:hAnsi="Times New Roman" w:cs="Times New Roman"/>
          <w:sz w:val="24"/>
          <w:szCs w:val="24"/>
        </w:rPr>
        <w:t>e ajustar la línea de vegetación-suelo al origen. Éste fue agregado debido a la existencia de diversos factores que modifican notablemente el comportamiento de los distintos índices espectrales. Entre estos factores, uno importante es la proporción vegetac</w:t>
      </w:r>
      <w:r>
        <w:rPr>
          <w:rFonts w:ascii="Times New Roman" w:eastAsia="Times New Roman" w:hAnsi="Times New Roman" w:cs="Times New Roman"/>
          <w:sz w:val="24"/>
          <w:szCs w:val="24"/>
        </w:rPr>
        <w:t>ión/suelo captada en un píxel, haciendo alusión a que tan tupida o esparcida se presenta la vegetación de un sitio (densidad). A menor densidad de la vegetación, más efecto del suelo (</w:t>
      </w:r>
      <w:proofErr w:type="spellStart"/>
      <w:r>
        <w:rPr>
          <w:rFonts w:ascii="Times New Roman" w:eastAsia="Times New Roman" w:hAnsi="Times New Roman" w:cs="Times New Roman"/>
          <w:sz w:val="24"/>
          <w:szCs w:val="24"/>
        </w:rPr>
        <w:t>ej</w:t>
      </w:r>
      <w:proofErr w:type="spellEnd"/>
      <w:r>
        <w:rPr>
          <w:rFonts w:ascii="Times New Roman" w:eastAsia="Times New Roman" w:hAnsi="Times New Roman" w:cs="Times New Roman"/>
          <w:sz w:val="24"/>
          <w:szCs w:val="24"/>
        </w:rPr>
        <w:t>: zonas áridas). Considere un L=0,5</w:t>
      </w:r>
    </w:p>
    <w:p w:rsidR="00715711" w:rsidRDefault="00947F6D">
      <w:pPr>
        <w:jc w:val="both"/>
        <w:rPr>
          <w:rFonts w:ascii="Times New Roman" w:eastAsia="Times New Roman" w:hAnsi="Times New Roman" w:cs="Times New Roman"/>
          <w:sz w:val="24"/>
          <w:szCs w:val="24"/>
        </w:rPr>
      </w:pPr>
      <w:r>
        <w:rPr>
          <w:noProof/>
        </w:rPr>
        <mc:AlternateContent>
          <mc:Choice Requires="wps">
            <w:drawing>
              <wp:anchor distT="0" distB="0" distL="114300" distR="114300" simplePos="0" relativeHeight="251658240" behindDoc="0" locked="0" layoutInCell="1" hidden="0" allowOverlap="1">
                <wp:simplePos x="0" y="0"/>
                <wp:positionH relativeFrom="margin">
                  <wp:align>center</wp:align>
                </wp:positionH>
                <wp:positionV relativeFrom="paragraph">
                  <wp:posOffset>152400</wp:posOffset>
                </wp:positionV>
                <wp:extent cx="6740525" cy="968375"/>
                <wp:effectExtent l="0" t="0" r="22225" b="22225"/>
                <wp:wrapNone/>
                <wp:docPr id="1558990611" name="Forma libre: forma 1558990611"/>
                <wp:cNvGraphicFramePr/>
                <a:graphic xmlns:a="http://schemas.openxmlformats.org/drawingml/2006/main">
                  <a:graphicData uri="http://schemas.microsoft.com/office/word/2010/wordprocessingShape">
                    <wps:wsp>
                      <wps:cNvSpPr/>
                      <wps:spPr>
                        <a:xfrm>
                          <a:off x="0" y="0"/>
                          <a:ext cx="6740525" cy="968375"/>
                        </a:xfrm>
                        <a:custGeom>
                          <a:avLst/>
                          <a:gdLst/>
                          <a:ahLst/>
                          <a:cxnLst/>
                          <a:rect l="l" t="t" r="r" b="b"/>
                          <a:pathLst>
                            <a:path w="6715125" h="942975" extrusionOk="0">
                              <a:moveTo>
                                <a:pt x="0" y="0"/>
                              </a:moveTo>
                              <a:lnTo>
                                <a:pt x="0" y="942975"/>
                              </a:lnTo>
                              <a:lnTo>
                                <a:pt x="6715125" y="942975"/>
                              </a:lnTo>
                              <a:lnTo>
                                <a:pt x="6715125" y="0"/>
                              </a:lnTo>
                              <a:close/>
                            </a:path>
                          </a:pathLst>
                        </a:custGeom>
                        <a:solidFill>
                          <a:srgbClr val="FFFFFF"/>
                        </a:solidFill>
                        <a:ln w="12700" cap="flat" cmpd="sng">
                          <a:solidFill>
                            <a:srgbClr val="000000"/>
                          </a:solidFill>
                          <a:prstDash val="dash"/>
                          <a:miter lim="8000"/>
                          <a:headEnd type="none" w="sm" len="sm"/>
                          <a:tailEnd type="none" w="sm" len="sm"/>
                        </a:ln>
                      </wps:spPr>
                      <wps:txbx>
                        <w:txbxContent>
                          <w:p w:rsidR="00715711" w:rsidRDefault="00A778ED">
                            <w:pPr>
                              <w:jc w:val="both"/>
                              <w:textDirection w:val="btLr"/>
                            </w:pPr>
                            <w:r>
                              <w:rPr>
                                <w:rFonts w:ascii="Calibri" w:eastAsia="Calibri" w:hAnsi="Calibri" w:cs="Calibri"/>
                                <w:b/>
                                <w:i/>
                                <w:color w:val="000000"/>
                                <w:sz w:val="24"/>
                              </w:rPr>
                              <w:t>¿Qué diferencias puede observar</w:t>
                            </w:r>
                            <w:r>
                              <w:rPr>
                                <w:rFonts w:ascii="Calibri" w:eastAsia="Calibri" w:hAnsi="Calibri" w:cs="Calibri"/>
                                <w:b/>
                                <w:i/>
                                <w:color w:val="000000"/>
                                <w:sz w:val="24"/>
                              </w:rPr>
                              <w:t xml:space="preserve"> entre el NDVI y el SAVI? ¿Qué similitudes presentan?</w:t>
                            </w:r>
                          </w:p>
                          <w:p w:rsidR="00715711" w:rsidRDefault="00A778ED">
                            <w:pPr>
                              <w:jc w:val="both"/>
                              <w:textDirection w:val="btLr"/>
                            </w:pPr>
                            <w:r>
                              <w:rPr>
                                <w:rFonts w:ascii="Calibri" w:eastAsia="Calibri" w:hAnsi="Calibri" w:cs="Calibri"/>
                                <w:b/>
                                <w:i/>
                                <w:color w:val="000000"/>
                                <w:sz w:val="24"/>
                              </w:rPr>
                              <w:t>SAVI fue creado para reducir las variaciones provocadas por el efecto espectral del suelo sobre la respuesta espectral de la vegetación, es decir, en lugares donde predomina el suelo descubierto. Por ot</w:t>
                            </w:r>
                            <w:r>
                              <w:rPr>
                                <w:rFonts w:ascii="Calibri" w:eastAsia="Calibri" w:hAnsi="Calibri" w:cs="Calibri"/>
                                <w:b/>
                                <w:i/>
                                <w:color w:val="000000"/>
                                <w:sz w:val="24"/>
                              </w:rPr>
                              <w:t>ra parte, el NDVI se utiliza en sectores donde predomina la cobertura vegetal.</w:t>
                            </w:r>
                          </w:p>
                          <w:p w:rsidR="00715711" w:rsidRDefault="00715711">
                            <w:pPr>
                              <w:textDirection w:val="btLr"/>
                            </w:pPr>
                          </w:p>
                        </w:txbxContent>
                      </wps:txbx>
                      <wps:bodyPr spcFirstLastPara="1" wrap="square" lIns="88900" tIns="38100" rIns="88900" bIns="38100" anchor="t" anchorCtr="0">
                        <a:noAutofit/>
                      </wps:bodyPr>
                    </wps:wsp>
                  </a:graphicData>
                </a:graphic>
              </wp:anchor>
            </w:drawing>
          </mc:Choice>
          <mc:Fallback>
            <w:pict>
              <v:shape id="Forma libre: forma 1558990611" o:spid="_x0000_s1026" style="position:absolute;left:0;text-align:left;margin-left:0;margin-top:12pt;width:530.75pt;height:76.25pt;z-index:251658240;visibility:visible;mso-wrap-style:square;mso-wrap-distance-left:9pt;mso-wrap-distance-top:0;mso-wrap-distance-right:9pt;mso-wrap-distance-bottom:0;mso-position-horizontal:center;mso-position-horizontal-relative:margin;mso-position-vertical:absolute;mso-position-vertical-relative:text;v-text-anchor:top" coordsize="6715125,942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" adj="-11796480,,5400" path="m,l,942975r6715125,l6715125,,,xe" strokeweight="1pt">
                <v:stroke dashstyle="dash" startarrowwidth="narrow" startarrowlength="short" endarrowwidth="narrow" endarrowlength="short" miterlimit="5243f" joinstyle="miter"/>
                <v:formulas/>
                <v:path arrowok="t" o:extrusionok="f" o:connecttype="custom" textboxrect="0,0,6715125,942975"/>
                <v:textbox inset="7pt,3pt,7pt,3pt">
                  <w:txbxContent>
                    <w:p w:rsidR="00715711" w:rsidRDefault="00A778ED">
                      <w:pPr>
                        <w:jc w:val="both"/>
                        <w:textDirection w:val="btLr"/>
                      </w:pPr>
                      <w:r>
                        <w:rPr>
                          <w:rFonts w:ascii="Calibri" w:eastAsia="Calibri" w:hAnsi="Calibri" w:cs="Calibri"/>
                          <w:b/>
                          <w:i/>
                          <w:color w:val="000000"/>
                          <w:sz w:val="24"/>
                        </w:rPr>
                        <w:t>¿Qué diferencias puede observar</w:t>
                      </w:r>
                      <w:r>
                        <w:rPr>
                          <w:rFonts w:ascii="Calibri" w:eastAsia="Calibri" w:hAnsi="Calibri" w:cs="Calibri"/>
                          <w:b/>
                          <w:i/>
                          <w:color w:val="000000"/>
                          <w:sz w:val="24"/>
                        </w:rPr>
                        <w:t xml:space="preserve"> entre el NDVI y el SAVI? ¿Qué similitudes presentan?</w:t>
                      </w:r>
                    </w:p>
                    <w:p w:rsidR="00715711" w:rsidRDefault="00A778ED">
                      <w:pPr>
                        <w:jc w:val="both"/>
                        <w:textDirection w:val="btLr"/>
                      </w:pPr>
                      <w:r>
                        <w:rPr>
                          <w:rFonts w:ascii="Calibri" w:eastAsia="Calibri" w:hAnsi="Calibri" w:cs="Calibri"/>
                          <w:b/>
                          <w:i/>
                          <w:color w:val="000000"/>
                          <w:sz w:val="24"/>
                        </w:rPr>
                        <w:t>SAVI fue creado para reducir las variaciones provocadas por el efecto espectral del suelo sobre la respuesta espectral de la vegetación, es decir, en lugares donde predomina el suelo descubierto. Por ot</w:t>
                      </w:r>
                      <w:r>
                        <w:rPr>
                          <w:rFonts w:ascii="Calibri" w:eastAsia="Calibri" w:hAnsi="Calibri" w:cs="Calibri"/>
                          <w:b/>
                          <w:i/>
                          <w:color w:val="000000"/>
                          <w:sz w:val="24"/>
                        </w:rPr>
                        <w:t>ra parte, el NDVI se utiliza en sectores donde predomina la cobertura vegetal.</w:t>
                      </w:r>
                    </w:p>
                    <w:p w:rsidR="00715711" w:rsidRDefault="00715711">
                      <w:pPr>
                        <w:textDirection w:val="btLr"/>
                      </w:pPr>
                    </w:p>
                  </w:txbxContent>
                </v:textbox>
                <w10:wrap anchorx="margin"/>
              </v:shape>
            </w:pict>
          </mc:Fallback>
        </mc:AlternateContent>
      </w:r>
    </w:p>
    <w:p w:rsidR="00715711" w:rsidRDefault="00715711">
      <w:pPr>
        <w:jc w:val="both"/>
        <w:rPr>
          <w:rFonts w:ascii="Times New Roman" w:eastAsia="Times New Roman" w:hAnsi="Times New Roman" w:cs="Times New Roman"/>
          <w:sz w:val="24"/>
          <w:szCs w:val="24"/>
        </w:rPr>
      </w:pPr>
    </w:p>
    <w:p w:rsidR="00715711" w:rsidRDefault="00715711">
      <w:pPr>
        <w:jc w:val="both"/>
        <w:rPr>
          <w:rFonts w:ascii="Times New Roman" w:eastAsia="Times New Roman" w:hAnsi="Times New Roman" w:cs="Times New Roman"/>
          <w:sz w:val="24"/>
          <w:szCs w:val="24"/>
        </w:rPr>
      </w:pPr>
    </w:p>
    <w:p w:rsidR="00715711" w:rsidRDefault="00715711">
      <w:pPr>
        <w:jc w:val="both"/>
        <w:rPr>
          <w:rFonts w:ascii="Times New Roman" w:eastAsia="Times New Roman" w:hAnsi="Times New Roman" w:cs="Times New Roman"/>
          <w:sz w:val="24"/>
          <w:szCs w:val="24"/>
        </w:rPr>
      </w:pPr>
    </w:p>
    <w:p w:rsidR="00715711" w:rsidRDefault="00715711">
      <w:pPr>
        <w:jc w:val="both"/>
        <w:rPr>
          <w:rFonts w:ascii="Times New Roman" w:eastAsia="Times New Roman" w:hAnsi="Times New Roman" w:cs="Times New Roman"/>
          <w:sz w:val="24"/>
          <w:szCs w:val="24"/>
        </w:rPr>
      </w:pPr>
    </w:p>
    <w:p w:rsidR="00715711" w:rsidRDefault="00715711">
      <w:pPr>
        <w:jc w:val="both"/>
        <w:rPr>
          <w:rFonts w:ascii="Times New Roman" w:eastAsia="Times New Roman" w:hAnsi="Times New Roman" w:cs="Times New Roman"/>
          <w:sz w:val="24"/>
          <w:szCs w:val="24"/>
        </w:rPr>
      </w:pPr>
    </w:p>
    <w:p w:rsidR="00715711" w:rsidRDefault="00715711">
      <w:pPr>
        <w:jc w:val="both"/>
        <w:rPr>
          <w:rFonts w:ascii="Times New Roman" w:eastAsia="Times New Roman" w:hAnsi="Times New Roman" w:cs="Times New Roman"/>
          <w:sz w:val="23"/>
          <w:szCs w:val="23"/>
        </w:rPr>
      </w:pPr>
    </w:p>
    <w:p w:rsidR="00715711" w:rsidRDefault="00A778ED">
      <w:pPr>
        <w:ind w:left="360"/>
        <w:jc w:val="both"/>
        <w:rPr>
          <w:rFonts w:ascii="Times New Roman" w:eastAsia="Times New Roman" w:hAnsi="Times New Roman" w:cs="Times New Roman"/>
          <w:b/>
          <w:sz w:val="24"/>
          <w:szCs w:val="24"/>
          <w:u w:val="single"/>
        </w:rPr>
      </w:pPr>
      <w:r>
        <w:rPr>
          <w:rFonts w:ascii="Times New Roman" w:eastAsia="Times New Roman" w:hAnsi="Times New Roman" w:cs="Times New Roman"/>
          <w:sz w:val="23"/>
          <w:szCs w:val="23"/>
        </w:rPr>
        <w:t xml:space="preserve">Aparte de los índices aquí presentados, existen un </w:t>
      </w:r>
      <w:r>
        <w:rPr>
          <w:rFonts w:ascii="Times New Roman" w:eastAsia="Times New Roman" w:hAnsi="Times New Roman" w:cs="Times New Roman"/>
          <w:b/>
          <w:sz w:val="23"/>
          <w:szCs w:val="23"/>
        </w:rPr>
        <w:t xml:space="preserve">gran número de índices espectrales </w:t>
      </w:r>
      <w:r>
        <w:rPr>
          <w:rFonts w:ascii="Times New Roman" w:eastAsia="Times New Roman" w:hAnsi="Times New Roman" w:cs="Times New Roman"/>
          <w:sz w:val="23"/>
          <w:szCs w:val="23"/>
        </w:rPr>
        <w:t xml:space="preserve">desarrollados por distintos autores y para distintos propósitos (ver &lt;http://www.indexdatabase.de/&gt;). Algunos de los más destacados son: distintos </w:t>
      </w:r>
      <w:r>
        <w:rPr>
          <w:rFonts w:ascii="Times New Roman" w:eastAsia="Times New Roman" w:hAnsi="Times New Roman" w:cs="Times New Roman"/>
          <w:b/>
          <w:sz w:val="23"/>
          <w:szCs w:val="23"/>
        </w:rPr>
        <w:t>cocientes simples entre bandas</w:t>
      </w:r>
      <w:r>
        <w:rPr>
          <w:rFonts w:ascii="Times New Roman" w:eastAsia="Times New Roman" w:hAnsi="Times New Roman" w:cs="Times New Roman"/>
          <w:sz w:val="23"/>
          <w:szCs w:val="23"/>
        </w:rPr>
        <w:t xml:space="preserve">; </w:t>
      </w:r>
      <w:r>
        <w:rPr>
          <w:rFonts w:ascii="Times New Roman" w:eastAsia="Times New Roman" w:hAnsi="Times New Roman" w:cs="Times New Roman"/>
          <w:b/>
          <w:sz w:val="23"/>
          <w:szCs w:val="23"/>
        </w:rPr>
        <w:t>índice de vegetación transformada (TVI); índice de vegetación mejorado (EVI);</w:t>
      </w:r>
      <w:r>
        <w:rPr>
          <w:rFonts w:ascii="Times New Roman" w:eastAsia="Times New Roman" w:hAnsi="Times New Roman" w:cs="Times New Roman"/>
          <w:b/>
          <w:sz w:val="23"/>
          <w:szCs w:val="23"/>
        </w:rPr>
        <w:t xml:space="preserve"> índice infrarrojo de diferencia normalizada (NDVI)</w:t>
      </w:r>
      <w:r>
        <w:rPr>
          <w:rFonts w:ascii="Times New Roman" w:eastAsia="Times New Roman" w:hAnsi="Times New Roman" w:cs="Times New Roman"/>
          <w:sz w:val="23"/>
          <w:szCs w:val="23"/>
        </w:rPr>
        <w:t xml:space="preserve">; </w:t>
      </w:r>
      <w:r>
        <w:rPr>
          <w:rFonts w:ascii="Times New Roman" w:eastAsia="Times New Roman" w:hAnsi="Times New Roman" w:cs="Times New Roman"/>
          <w:b/>
          <w:sz w:val="23"/>
          <w:szCs w:val="23"/>
        </w:rPr>
        <w:t xml:space="preserve">entre muchos otros </w:t>
      </w:r>
      <w:r>
        <w:rPr>
          <w:rFonts w:ascii="Times New Roman" w:eastAsia="Times New Roman" w:hAnsi="Times New Roman" w:cs="Times New Roman"/>
          <w:sz w:val="23"/>
          <w:szCs w:val="23"/>
        </w:rPr>
        <w:t xml:space="preserve">diseñados tanto para sensores multiespectrales, </w:t>
      </w:r>
      <w:proofErr w:type="spellStart"/>
      <w:r>
        <w:rPr>
          <w:rFonts w:ascii="Times New Roman" w:eastAsia="Times New Roman" w:hAnsi="Times New Roman" w:cs="Times New Roman"/>
          <w:sz w:val="23"/>
          <w:szCs w:val="23"/>
        </w:rPr>
        <w:t>hiperespectrales</w:t>
      </w:r>
      <w:proofErr w:type="spellEnd"/>
      <w:r>
        <w:rPr>
          <w:rFonts w:ascii="Times New Roman" w:eastAsia="Times New Roman" w:hAnsi="Times New Roman" w:cs="Times New Roman"/>
          <w:sz w:val="23"/>
          <w:szCs w:val="23"/>
        </w:rPr>
        <w:t xml:space="preserve"> y </w:t>
      </w:r>
      <w:proofErr w:type="spellStart"/>
      <w:r>
        <w:rPr>
          <w:rFonts w:ascii="Times New Roman" w:eastAsia="Times New Roman" w:hAnsi="Times New Roman" w:cs="Times New Roman"/>
          <w:sz w:val="23"/>
          <w:szCs w:val="23"/>
        </w:rPr>
        <w:t>superespectrales</w:t>
      </w:r>
      <w:proofErr w:type="spellEnd"/>
      <w:r>
        <w:rPr>
          <w:rFonts w:ascii="Times New Roman" w:eastAsia="Times New Roman" w:hAnsi="Times New Roman" w:cs="Times New Roman"/>
          <w:sz w:val="23"/>
          <w:szCs w:val="23"/>
        </w:rPr>
        <w:t>.</w:t>
      </w:r>
    </w:p>
    <w:p w:rsidR="00715711" w:rsidRDefault="00A778ED">
      <w:pPr>
        <w:spacing w:before="200" w:line="291" w:lineRule="auto"/>
        <w:ind w:right="114"/>
        <w:jc w:val="center"/>
        <w:rPr>
          <w:rFonts w:ascii="Times New Roman" w:eastAsia="Times New Roman" w:hAnsi="Times New Roman" w:cs="Times New Roman"/>
          <w:b/>
          <w:sz w:val="24"/>
          <w:szCs w:val="24"/>
          <w:u w:val="single"/>
        </w:rPr>
      </w:pPr>
      <w:r>
        <w:rPr>
          <w:rFonts w:ascii="Times New Roman" w:eastAsia="Times New Roman" w:hAnsi="Times New Roman" w:cs="Times New Roman"/>
          <w:noProof/>
        </w:rPr>
        <w:lastRenderedPageBreak/>
        <w:drawing>
          <wp:inline distT="0" distB="0" distL="0" distR="0">
            <wp:extent cx="4321004" cy="3335338"/>
            <wp:effectExtent l="0" t="0" r="0" b="0"/>
            <wp:docPr id="155899061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l="26458" t="18148" r="33541" b="18888"/>
                    <a:stretch>
                      <a:fillRect/>
                    </a:stretch>
                  </pic:blipFill>
                  <pic:spPr>
                    <a:xfrm>
                      <a:off x="0" y="0"/>
                      <a:ext cx="4321004" cy="3335338"/>
                    </a:xfrm>
                    <a:prstGeom prst="rect">
                      <a:avLst/>
                    </a:prstGeom>
                    <a:ln/>
                  </pic:spPr>
                </pic:pic>
              </a:graphicData>
            </a:graphic>
          </wp:inline>
        </w:drawing>
      </w:r>
    </w:p>
    <w:p w:rsidR="00715711" w:rsidRDefault="00A778ED">
      <w:pPr>
        <w:numPr>
          <w:ilvl w:val="0"/>
          <w:numId w:val="2"/>
        </w:numPr>
        <w:pBdr>
          <w:top w:val="nil"/>
          <w:left w:val="nil"/>
          <w:bottom w:val="nil"/>
          <w:right w:val="nil"/>
          <w:between w:val="nil"/>
        </w:pBdr>
        <w:spacing w:before="200" w:line="291" w:lineRule="auto"/>
        <w:ind w:right="114"/>
        <w:jc w:val="both"/>
        <w:rPr>
          <w:rFonts w:ascii="Times New Roman" w:eastAsia="Times New Roman" w:hAnsi="Times New Roman" w:cs="Times New Roman"/>
          <w:b/>
          <w:color w:val="000000"/>
        </w:rPr>
      </w:pPr>
      <w:r>
        <w:rPr>
          <w:rFonts w:ascii="Times New Roman" w:eastAsia="Times New Roman" w:hAnsi="Times New Roman" w:cs="Times New Roman"/>
          <w:b/>
          <w:color w:val="000000"/>
        </w:rPr>
        <w:t>Trasformaciones Globales (“</w:t>
      </w:r>
      <w:proofErr w:type="spellStart"/>
      <w:r>
        <w:rPr>
          <w:rFonts w:ascii="Times New Roman" w:eastAsia="Times New Roman" w:hAnsi="Times New Roman" w:cs="Times New Roman"/>
          <w:b/>
          <w:i/>
          <w:color w:val="000000"/>
        </w:rPr>
        <w:t>Feature</w:t>
      </w:r>
      <w:proofErr w:type="spellEnd"/>
      <w:r>
        <w:rPr>
          <w:rFonts w:ascii="Times New Roman" w:eastAsia="Times New Roman" w:hAnsi="Times New Roman" w:cs="Times New Roman"/>
          <w:b/>
          <w:i/>
          <w:color w:val="000000"/>
        </w:rPr>
        <w:t xml:space="preserve"> </w:t>
      </w:r>
      <w:proofErr w:type="spellStart"/>
      <w:r>
        <w:rPr>
          <w:rFonts w:ascii="Times New Roman" w:eastAsia="Times New Roman" w:hAnsi="Times New Roman" w:cs="Times New Roman"/>
          <w:b/>
          <w:i/>
          <w:color w:val="000000"/>
        </w:rPr>
        <w:t>extraction</w:t>
      </w:r>
      <w:proofErr w:type="spellEnd"/>
      <w:r>
        <w:rPr>
          <w:rFonts w:ascii="Times New Roman" w:eastAsia="Times New Roman" w:hAnsi="Times New Roman" w:cs="Times New Roman"/>
          <w:b/>
          <w:color w:val="000000"/>
        </w:rPr>
        <w:t>”):</w:t>
      </w:r>
    </w:p>
    <w:p w:rsidR="00715711" w:rsidRDefault="00A778ED">
      <w:pPr>
        <w:pBdr>
          <w:top w:val="nil"/>
          <w:left w:val="nil"/>
          <w:bottom w:val="nil"/>
          <w:right w:val="nil"/>
          <w:between w:val="nil"/>
        </w:pBd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Las denominadas transformaciones globales (</w:t>
      </w:r>
      <w:proofErr w:type="spellStart"/>
      <w:r>
        <w:rPr>
          <w:rFonts w:ascii="Times New Roman" w:eastAsia="Times New Roman" w:hAnsi="Times New Roman" w:cs="Times New Roman"/>
          <w:color w:val="000000"/>
          <w:sz w:val="24"/>
          <w:szCs w:val="24"/>
        </w:rPr>
        <w:t>Pinil</w:t>
      </w:r>
      <w:r>
        <w:rPr>
          <w:rFonts w:ascii="Times New Roman" w:eastAsia="Times New Roman" w:hAnsi="Times New Roman" w:cs="Times New Roman"/>
          <w:color w:val="000000"/>
          <w:sz w:val="24"/>
          <w:szCs w:val="24"/>
        </w:rPr>
        <w:t>lla</w:t>
      </w:r>
      <w:proofErr w:type="spellEnd"/>
      <w:r>
        <w:rPr>
          <w:rFonts w:ascii="Times New Roman" w:eastAsia="Times New Roman" w:hAnsi="Times New Roman" w:cs="Times New Roman"/>
          <w:color w:val="000000"/>
          <w:sz w:val="24"/>
          <w:szCs w:val="24"/>
        </w:rPr>
        <w:t xml:space="preserve">, 1995) incluyen a los ya vistos Índices Vegetación, más otro tipo de análisis, consistentes en la combinación de las distintas bandas de una imagen, para crear nuevas imágenes a partir de estas. Las imágenes creadas de esta forma </w:t>
      </w:r>
      <w:r>
        <w:rPr>
          <w:rFonts w:ascii="Times New Roman" w:eastAsia="Times New Roman" w:hAnsi="Times New Roman" w:cs="Times New Roman"/>
          <w:color w:val="000000"/>
          <w:sz w:val="24"/>
          <w:szCs w:val="24"/>
          <w:u w:val="single"/>
        </w:rPr>
        <w:t>son una función de tod</w:t>
      </w:r>
      <w:r>
        <w:rPr>
          <w:rFonts w:ascii="Times New Roman" w:eastAsia="Times New Roman" w:hAnsi="Times New Roman" w:cs="Times New Roman"/>
          <w:color w:val="000000"/>
          <w:sz w:val="24"/>
          <w:szCs w:val="24"/>
          <w:u w:val="single"/>
        </w:rPr>
        <w:t>as las bandas originales</w:t>
      </w:r>
      <w:r>
        <w:rPr>
          <w:rFonts w:ascii="Times New Roman" w:eastAsia="Times New Roman" w:hAnsi="Times New Roman" w:cs="Times New Roman"/>
          <w:color w:val="000000"/>
          <w:sz w:val="24"/>
          <w:szCs w:val="24"/>
        </w:rPr>
        <w:t xml:space="preserve"> consideradas.</w:t>
      </w:r>
    </w:p>
    <w:p w:rsidR="00715711" w:rsidRDefault="00715711">
      <w:pPr>
        <w:jc w:val="both"/>
        <w:rPr>
          <w:rFonts w:ascii="Times New Roman" w:eastAsia="Times New Roman" w:hAnsi="Times New Roman" w:cs="Times New Roman"/>
          <w:sz w:val="24"/>
          <w:szCs w:val="24"/>
        </w:rPr>
      </w:pPr>
    </w:p>
    <w:p w:rsidR="00715711" w:rsidRDefault="00A778E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Una de estas transformaciones más ampliamente utilizadas, corresponde al </w:t>
      </w:r>
      <w:r>
        <w:rPr>
          <w:rFonts w:ascii="Times New Roman" w:eastAsia="Times New Roman" w:hAnsi="Times New Roman" w:cs="Times New Roman"/>
          <w:b/>
          <w:sz w:val="24"/>
          <w:szCs w:val="24"/>
        </w:rPr>
        <w:t>Análisis de Componentes Principales (PCA)</w:t>
      </w:r>
      <w:r>
        <w:rPr>
          <w:rFonts w:ascii="Times New Roman" w:eastAsia="Times New Roman" w:hAnsi="Times New Roman" w:cs="Times New Roman"/>
          <w:sz w:val="24"/>
          <w:szCs w:val="24"/>
        </w:rPr>
        <w:t xml:space="preserve">, cuyo objetivo es resumir la información de un grupo de variables, en un nuevo conjunto más pequeño, conservando las partes más significativas de la información original. Las bandas de imágenes multi e </w:t>
      </w:r>
      <w:proofErr w:type="spellStart"/>
      <w:r>
        <w:rPr>
          <w:rFonts w:ascii="Times New Roman" w:eastAsia="Times New Roman" w:hAnsi="Times New Roman" w:cs="Times New Roman"/>
          <w:sz w:val="24"/>
          <w:szCs w:val="24"/>
        </w:rPr>
        <w:t>hiperespectrales</w:t>
      </w:r>
      <w:proofErr w:type="spellEnd"/>
      <w:r>
        <w:rPr>
          <w:rFonts w:ascii="Times New Roman" w:eastAsia="Times New Roman" w:hAnsi="Times New Roman" w:cs="Times New Roman"/>
          <w:sz w:val="24"/>
          <w:szCs w:val="24"/>
        </w:rPr>
        <w:t xml:space="preserve"> presentan una alta correlación entre</w:t>
      </w:r>
      <w:r>
        <w:rPr>
          <w:rFonts w:ascii="Times New Roman" w:eastAsia="Times New Roman" w:hAnsi="Times New Roman" w:cs="Times New Roman"/>
          <w:sz w:val="24"/>
          <w:szCs w:val="24"/>
        </w:rPr>
        <w:t xml:space="preserve"> sí (sectores adyacentes en el espectro electromagnético).</w:t>
      </w:r>
    </w:p>
    <w:p w:rsidR="00715711" w:rsidRDefault="00715711">
      <w:pPr>
        <w:jc w:val="both"/>
        <w:rPr>
          <w:rFonts w:ascii="Times New Roman" w:eastAsia="Times New Roman" w:hAnsi="Times New Roman" w:cs="Times New Roman"/>
          <w:sz w:val="24"/>
          <w:szCs w:val="24"/>
        </w:rPr>
      </w:pPr>
    </w:p>
    <w:p w:rsidR="00715711" w:rsidRDefault="00A778ED">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El PCA sintetiza la información de n bandas, en n componentes principales</w:t>
      </w:r>
      <w:r>
        <w:rPr>
          <w:rFonts w:ascii="Times New Roman" w:eastAsia="Times New Roman" w:hAnsi="Times New Roman" w:cs="Times New Roman"/>
          <w:sz w:val="24"/>
          <w:szCs w:val="24"/>
        </w:rPr>
        <w:t>, donde los primeros de ellos presentan resumida la mayoría de la información total, y el resto corresponden al ruido pres</w:t>
      </w:r>
      <w:r>
        <w:rPr>
          <w:rFonts w:ascii="Times New Roman" w:eastAsia="Times New Roman" w:hAnsi="Times New Roman" w:cs="Times New Roman"/>
          <w:sz w:val="24"/>
          <w:szCs w:val="24"/>
        </w:rPr>
        <w:t xml:space="preserve">ente en todas las bandas consideradas de la imagen. Además, los </w:t>
      </w:r>
      <w:r>
        <w:rPr>
          <w:rFonts w:ascii="Times New Roman" w:eastAsia="Times New Roman" w:hAnsi="Times New Roman" w:cs="Times New Roman"/>
          <w:b/>
          <w:sz w:val="24"/>
          <w:szCs w:val="24"/>
        </w:rPr>
        <w:t xml:space="preserve">distintos componentes principales son ortogonales entre sí, </w:t>
      </w:r>
      <w:r>
        <w:rPr>
          <w:rFonts w:ascii="Times New Roman" w:eastAsia="Times New Roman" w:hAnsi="Times New Roman" w:cs="Times New Roman"/>
          <w:sz w:val="24"/>
          <w:szCs w:val="24"/>
        </w:rPr>
        <w:t>lo que significa que no están correlacionados. El PCA reduce la dimensionalidad de los datos y aísla el ruido de estos.</w:t>
      </w:r>
    </w:p>
    <w:p w:rsidR="00947F6D" w:rsidRDefault="00947F6D">
      <w:pPr>
        <w:jc w:val="both"/>
        <w:rPr>
          <w:rFonts w:ascii="Times New Roman" w:eastAsia="Times New Roman" w:hAnsi="Times New Roman" w:cs="Times New Roman"/>
          <w:sz w:val="24"/>
          <w:szCs w:val="24"/>
        </w:rPr>
      </w:pPr>
    </w:p>
    <w:p w:rsidR="00947F6D" w:rsidRDefault="00947F6D" w:rsidP="00947F6D">
      <w:pPr>
        <w:jc w:val="center"/>
        <w:rPr>
          <w:rFonts w:ascii="Times New Roman" w:eastAsia="Times New Roman" w:hAnsi="Times New Roman" w:cs="Times New Roman"/>
          <w:sz w:val="24"/>
          <w:szCs w:val="24"/>
        </w:rPr>
      </w:pPr>
      <w:r>
        <w:rPr>
          <w:noProof/>
          <w:bdr w:val="none" w:sz="0" w:space="0" w:color="auto" w:frame="1"/>
        </w:rPr>
        <w:lastRenderedPageBreak/>
        <w:drawing>
          <wp:inline distT="0" distB="0" distL="0" distR="0">
            <wp:extent cx="3581400" cy="2619375"/>
            <wp:effectExtent l="0" t="0" r="0" b="952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1400" cy="2619375"/>
                    </a:xfrm>
                    <a:prstGeom prst="rect">
                      <a:avLst/>
                    </a:prstGeom>
                    <a:noFill/>
                    <a:ln>
                      <a:noFill/>
                    </a:ln>
                  </pic:spPr>
                </pic:pic>
              </a:graphicData>
            </a:graphic>
          </wp:inline>
        </w:drawing>
      </w:r>
    </w:p>
    <w:p w:rsidR="00715711" w:rsidRDefault="00A778ED">
      <w:pPr>
        <w:spacing w:before="200" w:line="291" w:lineRule="auto"/>
        <w:ind w:right="113"/>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En términos prácticos, el </w:t>
      </w:r>
      <w:r>
        <w:rPr>
          <w:rFonts w:ascii="Times New Roman" w:eastAsia="Times New Roman" w:hAnsi="Times New Roman" w:cs="Times New Roman"/>
          <w:b/>
          <w:sz w:val="24"/>
          <w:szCs w:val="24"/>
        </w:rPr>
        <w:t xml:space="preserve">PCA maximiza la varianza del set de datos, mediante la disminución de su correlación </w:t>
      </w:r>
      <w:r>
        <w:rPr>
          <w:rFonts w:ascii="Times New Roman" w:eastAsia="Times New Roman" w:hAnsi="Times New Roman" w:cs="Times New Roman"/>
          <w:sz w:val="24"/>
          <w:szCs w:val="24"/>
        </w:rPr>
        <w:t xml:space="preserve">(transformación ortogonal). Las bandas resultantes del PCA son combinaciones lineales de las bandas espectrales originales, en donde </w:t>
      </w:r>
      <w:r>
        <w:rPr>
          <w:rFonts w:ascii="Times New Roman" w:eastAsia="Times New Roman" w:hAnsi="Times New Roman" w:cs="Times New Roman"/>
          <w:b/>
          <w:sz w:val="24"/>
          <w:szCs w:val="24"/>
        </w:rPr>
        <w:t>las primeras</w:t>
      </w:r>
      <w:r>
        <w:rPr>
          <w:rFonts w:ascii="Times New Roman" w:eastAsia="Times New Roman" w:hAnsi="Times New Roman" w:cs="Times New Roman"/>
          <w:b/>
          <w:sz w:val="24"/>
          <w:szCs w:val="24"/>
        </w:rPr>
        <w:t xml:space="preserve"> normalmente representan el 90-96% de la varianza contenida en los datos, y las bandas restantes representan ruido.</w:t>
      </w:r>
    </w:p>
    <w:p w:rsidR="00715711" w:rsidRDefault="00A778ED">
      <w:pPr>
        <w:spacing w:before="200" w:line="291" w:lineRule="auto"/>
        <w:ind w:right="113"/>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Habitualmente, en los primeros componentes principales se puede distinguir:</w:t>
      </w:r>
    </w:p>
    <w:p w:rsidR="00715711" w:rsidRDefault="00715711">
      <w:pPr>
        <w:spacing w:before="200" w:line="291" w:lineRule="auto"/>
        <w:ind w:right="113"/>
        <w:jc w:val="both"/>
        <w:rPr>
          <w:rFonts w:ascii="Times New Roman" w:eastAsia="Times New Roman" w:hAnsi="Times New Roman" w:cs="Times New Roman"/>
          <w:sz w:val="24"/>
          <w:szCs w:val="24"/>
        </w:rPr>
      </w:pPr>
    </w:p>
    <w:p w:rsidR="00715711" w:rsidRDefault="00A778E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1° CP: </w:t>
      </w:r>
      <w:r>
        <w:rPr>
          <w:rFonts w:ascii="Times New Roman" w:eastAsia="Times New Roman" w:hAnsi="Times New Roman" w:cs="Times New Roman"/>
          <w:color w:val="000000"/>
          <w:sz w:val="24"/>
          <w:szCs w:val="24"/>
        </w:rPr>
        <w:t>Fisionomía Similar a un pancromático, bajos valores en agua y vegetación, valores medios en edificaciones y altos en suelos desnudos.</w:t>
      </w:r>
    </w:p>
    <w:p w:rsidR="00715711" w:rsidRDefault="00A778E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2° CP: </w:t>
      </w:r>
      <w:r>
        <w:rPr>
          <w:rFonts w:ascii="Times New Roman" w:eastAsia="Times New Roman" w:hAnsi="Times New Roman" w:cs="Times New Roman"/>
          <w:color w:val="000000"/>
          <w:sz w:val="24"/>
          <w:szCs w:val="24"/>
        </w:rPr>
        <w:t>Valores altos en sectores con actividad fotosintética, medios en urbanización y bajos en suelo desnudo, agua y pavi</w:t>
      </w:r>
      <w:r>
        <w:rPr>
          <w:rFonts w:ascii="Times New Roman" w:eastAsia="Times New Roman" w:hAnsi="Times New Roman" w:cs="Times New Roman"/>
          <w:color w:val="000000"/>
          <w:sz w:val="24"/>
          <w:szCs w:val="24"/>
        </w:rPr>
        <w:t>mento.</w:t>
      </w:r>
    </w:p>
    <w:p w:rsidR="00715711" w:rsidRDefault="00A778ED">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3° CP: </w:t>
      </w:r>
      <w:r>
        <w:rPr>
          <w:rFonts w:ascii="Times New Roman" w:eastAsia="Times New Roman" w:hAnsi="Times New Roman" w:cs="Times New Roman"/>
          <w:color w:val="000000"/>
          <w:sz w:val="24"/>
          <w:szCs w:val="24"/>
        </w:rPr>
        <w:t>Valores altos en agua, pavimento y urbanización, medios a bajos en zonas con actividad fotosintética (más vigor, valor menor).</w:t>
      </w:r>
    </w:p>
    <w:p w:rsidR="00715711" w:rsidRDefault="00A778ED">
      <w:pPr>
        <w:pStyle w:val="Ttulo3"/>
        <w:spacing w:before="201"/>
        <w:ind w:left="674"/>
        <w:rPr>
          <w:rFonts w:ascii="Times New Roman" w:eastAsia="Times New Roman" w:hAnsi="Times New Roman" w:cs="Times New Roman"/>
        </w:rPr>
      </w:pPr>
      <w:r>
        <w:rPr>
          <w:rFonts w:ascii="Times New Roman" w:eastAsia="Times New Roman" w:hAnsi="Times New Roman" w:cs="Times New Roman"/>
        </w:rPr>
        <w:t>¿En qué cree usted que podría utilizar este tipo de análisis? ¿Cuáles son sus ventajas y desventajas?</w:t>
      </w:r>
    </w:p>
    <w:p w:rsidR="00715711" w:rsidRDefault="00715711">
      <w:pPr>
        <w:spacing w:line="291" w:lineRule="auto"/>
        <w:ind w:left="313" w:right="113"/>
        <w:jc w:val="both"/>
        <w:rPr>
          <w:rFonts w:ascii="Times New Roman" w:eastAsia="Times New Roman" w:hAnsi="Times New Roman" w:cs="Times New Roman"/>
          <w:sz w:val="24"/>
          <w:szCs w:val="24"/>
        </w:rPr>
      </w:pPr>
    </w:p>
    <w:p w:rsidR="00715711" w:rsidRDefault="00A778ED">
      <w:pPr>
        <w:spacing w:line="291" w:lineRule="auto"/>
        <w:ind w:left="313" w:right="113"/>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Otra transformación bastante usada, corresponde a la </w:t>
      </w:r>
      <w:r>
        <w:rPr>
          <w:rFonts w:ascii="Times New Roman" w:eastAsia="Times New Roman" w:hAnsi="Times New Roman" w:cs="Times New Roman"/>
          <w:b/>
          <w:sz w:val="24"/>
          <w:szCs w:val="24"/>
        </w:rPr>
        <w:t>llamada “</w:t>
      </w:r>
      <w:proofErr w:type="spellStart"/>
      <w:r>
        <w:rPr>
          <w:rFonts w:ascii="Times New Roman" w:eastAsia="Times New Roman" w:hAnsi="Times New Roman" w:cs="Times New Roman"/>
          <w:b/>
          <w:sz w:val="24"/>
          <w:szCs w:val="24"/>
        </w:rPr>
        <w:t>Tasseled</w:t>
      </w:r>
      <w:proofErr w:type="spellEnd"/>
      <w:r>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rPr>
        <w:t>Cap</w:t>
      </w:r>
      <w:proofErr w:type="spellEnd"/>
      <w:r>
        <w:rPr>
          <w:rFonts w:ascii="Times New Roman" w:eastAsia="Times New Roman" w:hAnsi="Times New Roman" w:cs="Times New Roman"/>
          <w:b/>
          <w:sz w:val="24"/>
          <w:szCs w:val="24"/>
        </w:rPr>
        <w:t xml:space="preserve">” (TCT), </w:t>
      </w:r>
      <w:r>
        <w:rPr>
          <w:rFonts w:ascii="Times New Roman" w:eastAsia="Times New Roman" w:hAnsi="Times New Roman" w:cs="Times New Roman"/>
          <w:sz w:val="24"/>
          <w:szCs w:val="24"/>
        </w:rPr>
        <w:t xml:space="preserve">la cual fue diseñada para </w:t>
      </w:r>
      <w:r>
        <w:rPr>
          <w:rFonts w:ascii="Times New Roman" w:eastAsia="Times New Roman" w:hAnsi="Times New Roman" w:cs="Times New Roman"/>
          <w:b/>
          <w:sz w:val="24"/>
          <w:szCs w:val="24"/>
        </w:rPr>
        <w:t xml:space="preserve">analizar cambios de la cobertura vegetal y del desarrollo urbano detectados por sensores satelitales. </w:t>
      </w:r>
      <w:r>
        <w:rPr>
          <w:rFonts w:ascii="Times New Roman" w:eastAsia="Times New Roman" w:hAnsi="Times New Roman" w:cs="Times New Roman"/>
          <w:sz w:val="24"/>
          <w:szCs w:val="24"/>
        </w:rPr>
        <w:t>Se conoce como transformación “</w:t>
      </w:r>
      <w:proofErr w:type="spellStart"/>
      <w:r>
        <w:rPr>
          <w:rFonts w:ascii="Times New Roman" w:eastAsia="Times New Roman" w:hAnsi="Times New Roman" w:cs="Times New Roman"/>
          <w:sz w:val="24"/>
          <w:szCs w:val="24"/>
        </w:rPr>
        <w:t>Tasseled</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Cap</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debido a la forma de la distribución gráfica de los datos (“gorro con </w:t>
      </w:r>
      <w:proofErr w:type="spellStart"/>
      <w:r>
        <w:rPr>
          <w:rFonts w:ascii="Times New Roman" w:eastAsia="Times New Roman" w:hAnsi="Times New Roman" w:cs="Times New Roman"/>
          <w:sz w:val="24"/>
          <w:szCs w:val="24"/>
        </w:rPr>
        <w:t>pom-pom</w:t>
      </w:r>
      <w:proofErr w:type="spellEnd"/>
      <w:r>
        <w:rPr>
          <w:rFonts w:ascii="Times New Roman" w:eastAsia="Times New Roman" w:hAnsi="Times New Roman" w:cs="Times New Roman"/>
          <w:sz w:val="24"/>
          <w:szCs w:val="24"/>
        </w:rPr>
        <w:t xml:space="preserve">”). Fue desarrollada por </w:t>
      </w:r>
      <w:proofErr w:type="spellStart"/>
      <w:r>
        <w:rPr>
          <w:rFonts w:ascii="Times New Roman" w:eastAsia="Times New Roman" w:hAnsi="Times New Roman" w:cs="Times New Roman"/>
          <w:sz w:val="24"/>
          <w:szCs w:val="24"/>
        </w:rPr>
        <w:t>Kauth</w:t>
      </w:r>
      <w:proofErr w:type="spellEnd"/>
      <w:r>
        <w:rPr>
          <w:rFonts w:ascii="Times New Roman" w:eastAsia="Times New Roman" w:hAnsi="Times New Roman" w:cs="Times New Roman"/>
          <w:sz w:val="24"/>
          <w:szCs w:val="24"/>
        </w:rPr>
        <w:t xml:space="preserve"> y Thomas (1976). </w:t>
      </w:r>
      <w:r>
        <w:rPr>
          <w:rFonts w:ascii="Times New Roman" w:eastAsia="Times New Roman" w:hAnsi="Times New Roman" w:cs="Times New Roman"/>
          <w:b/>
          <w:sz w:val="24"/>
          <w:szCs w:val="24"/>
        </w:rPr>
        <w:t>TCT corresponde a una transformación PCA calibrada para ciertos sensores satelitales.</w:t>
      </w:r>
    </w:p>
    <w:p w:rsidR="00715711" w:rsidRDefault="00715711">
      <w:pPr>
        <w:spacing w:line="291" w:lineRule="auto"/>
        <w:ind w:left="313" w:right="113"/>
        <w:jc w:val="both"/>
        <w:rPr>
          <w:rFonts w:ascii="Times New Roman" w:eastAsia="Times New Roman" w:hAnsi="Times New Roman" w:cs="Times New Roman"/>
          <w:b/>
          <w:sz w:val="24"/>
          <w:szCs w:val="24"/>
        </w:rPr>
      </w:pPr>
    </w:p>
    <w:p w:rsidR="00715711" w:rsidRDefault="00A778ED">
      <w:pPr>
        <w:spacing w:line="291" w:lineRule="auto"/>
        <w:ind w:left="313" w:right="113"/>
        <w:jc w:val="both"/>
        <w:rPr>
          <w:rFonts w:ascii="Times New Roman" w:eastAsia="Times New Roman" w:hAnsi="Times New Roman" w:cs="Times New Roman"/>
          <w:b/>
          <w:sz w:val="24"/>
          <w:szCs w:val="24"/>
        </w:rPr>
      </w:pPr>
      <w:r>
        <w:rPr>
          <w:rFonts w:ascii="Times New Roman" w:eastAsia="Times New Roman" w:hAnsi="Times New Roman" w:cs="Times New Roman"/>
        </w:rPr>
        <w:t>Esta transformación, genera tres ejes asimil</w:t>
      </w:r>
      <w:r>
        <w:rPr>
          <w:rFonts w:ascii="Times New Roman" w:eastAsia="Times New Roman" w:hAnsi="Times New Roman" w:cs="Times New Roman"/>
        </w:rPr>
        <w:t>ables a los componentes principales:</w:t>
      </w:r>
    </w:p>
    <w:p w:rsidR="00715711" w:rsidRDefault="00A778ED">
      <w:pPr>
        <w:numPr>
          <w:ilvl w:val="1"/>
          <w:numId w:val="6"/>
        </w:numPr>
        <w:pBdr>
          <w:top w:val="nil"/>
          <w:left w:val="nil"/>
          <w:bottom w:val="nil"/>
          <w:right w:val="nil"/>
          <w:between w:val="nil"/>
        </w:pBdr>
        <w:tabs>
          <w:tab w:val="left" w:pos="1394"/>
        </w:tabs>
        <w:spacing w:before="1" w:line="291" w:lineRule="auto"/>
        <w:ind w:right="113"/>
        <w:jc w:val="both"/>
        <w:rPr>
          <w:rFonts w:ascii="Calibri" w:eastAsia="Calibri" w:hAnsi="Calibri" w:cs="Calibri"/>
          <w:color w:val="000000"/>
          <w:sz w:val="24"/>
          <w:szCs w:val="24"/>
        </w:rPr>
      </w:pPr>
      <w:r>
        <w:rPr>
          <w:rFonts w:ascii="Times New Roman" w:eastAsia="Times New Roman" w:hAnsi="Times New Roman" w:cs="Times New Roman"/>
          <w:b/>
          <w:color w:val="000000"/>
          <w:sz w:val="24"/>
          <w:szCs w:val="24"/>
        </w:rPr>
        <w:lastRenderedPageBreak/>
        <w:t>Brillo (</w:t>
      </w:r>
      <w:proofErr w:type="spellStart"/>
      <w:r>
        <w:rPr>
          <w:rFonts w:ascii="Times New Roman" w:eastAsia="Times New Roman" w:hAnsi="Times New Roman" w:cs="Times New Roman"/>
          <w:b/>
          <w:color w:val="000000"/>
          <w:sz w:val="24"/>
          <w:szCs w:val="24"/>
        </w:rPr>
        <w:t>Brightness</w:t>
      </w:r>
      <w:proofErr w:type="spell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Corresponde al primer componente de la TCT, es la suma ponderada de todas las bandas que representa la mayor variabilidad en la imagen. Por lo general, se asocia al suelo desnudo o parcialmente cubierto, coberturas artificiales, y a variaciones en la topog</w:t>
      </w:r>
      <w:r>
        <w:rPr>
          <w:rFonts w:ascii="Times New Roman" w:eastAsia="Times New Roman" w:hAnsi="Times New Roman" w:cs="Times New Roman"/>
          <w:color w:val="000000"/>
          <w:sz w:val="24"/>
          <w:szCs w:val="24"/>
        </w:rPr>
        <w:t>rafía.</w:t>
      </w:r>
    </w:p>
    <w:p w:rsidR="00715711" w:rsidRDefault="00A778ED">
      <w:pPr>
        <w:numPr>
          <w:ilvl w:val="1"/>
          <w:numId w:val="6"/>
        </w:numPr>
        <w:pBdr>
          <w:top w:val="nil"/>
          <w:left w:val="nil"/>
          <w:bottom w:val="nil"/>
          <w:right w:val="nil"/>
          <w:between w:val="nil"/>
        </w:pBdr>
        <w:tabs>
          <w:tab w:val="left" w:pos="1394"/>
        </w:tabs>
        <w:spacing w:line="291" w:lineRule="auto"/>
        <w:ind w:right="112"/>
        <w:jc w:val="both"/>
        <w:rPr>
          <w:rFonts w:ascii="Calibri" w:eastAsia="Calibri" w:hAnsi="Calibri" w:cs="Calibri"/>
          <w:color w:val="000000"/>
          <w:sz w:val="24"/>
          <w:szCs w:val="24"/>
        </w:rPr>
      </w:pPr>
      <w:r>
        <w:rPr>
          <w:rFonts w:ascii="Times New Roman" w:eastAsia="Times New Roman" w:hAnsi="Times New Roman" w:cs="Times New Roman"/>
          <w:b/>
          <w:color w:val="000000"/>
          <w:sz w:val="24"/>
          <w:szCs w:val="24"/>
        </w:rPr>
        <w:t>Verdor (</w:t>
      </w:r>
      <w:proofErr w:type="spellStart"/>
      <w:r>
        <w:rPr>
          <w:rFonts w:ascii="Times New Roman" w:eastAsia="Times New Roman" w:hAnsi="Times New Roman" w:cs="Times New Roman"/>
          <w:b/>
          <w:color w:val="000000"/>
          <w:sz w:val="24"/>
          <w:szCs w:val="24"/>
        </w:rPr>
        <w:t>Greenness</w:t>
      </w:r>
      <w:proofErr w:type="spell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Corresponde al segundo componente de la TCT, y representa </w:t>
      </w:r>
      <w:proofErr w:type="gramStart"/>
      <w:r>
        <w:rPr>
          <w:rFonts w:ascii="Times New Roman" w:eastAsia="Times New Roman" w:hAnsi="Times New Roman" w:cs="Times New Roman"/>
          <w:color w:val="000000"/>
          <w:sz w:val="24"/>
          <w:szCs w:val="24"/>
        </w:rPr>
        <w:t xml:space="preserve">una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medida</w:t>
      </w:r>
      <w:proofErr w:type="gramEnd"/>
      <w:r>
        <w:rPr>
          <w:rFonts w:ascii="Times New Roman" w:eastAsia="Times New Roman" w:hAnsi="Times New Roman" w:cs="Times New Roman"/>
          <w:color w:val="000000"/>
          <w:sz w:val="24"/>
          <w:szCs w:val="24"/>
        </w:rPr>
        <w:t xml:space="preserve"> del contraste entre la banda NIR y las bandas visibles debido a la dispersión (“</w:t>
      </w:r>
      <w:proofErr w:type="spellStart"/>
      <w:r>
        <w:rPr>
          <w:rFonts w:ascii="Times New Roman" w:eastAsia="Times New Roman" w:hAnsi="Times New Roman" w:cs="Times New Roman"/>
          <w:color w:val="000000"/>
          <w:sz w:val="24"/>
          <w:szCs w:val="24"/>
        </w:rPr>
        <w:t>scattering</w:t>
      </w:r>
      <w:proofErr w:type="spellEnd"/>
      <w:r>
        <w:rPr>
          <w:rFonts w:ascii="Times New Roman" w:eastAsia="Times New Roman" w:hAnsi="Times New Roman" w:cs="Times New Roman"/>
          <w:color w:val="000000"/>
          <w:sz w:val="24"/>
          <w:szCs w:val="24"/>
        </w:rPr>
        <w:t xml:space="preserve">”) de la radiación infrarroja resultante desde la estructura celular </w:t>
      </w:r>
      <w:r>
        <w:rPr>
          <w:rFonts w:ascii="Times New Roman" w:eastAsia="Times New Roman" w:hAnsi="Times New Roman" w:cs="Times New Roman"/>
          <w:color w:val="000000"/>
          <w:sz w:val="24"/>
          <w:szCs w:val="24"/>
        </w:rPr>
        <w:t>de la vegetación verde y la absorción de radiación visible por pigmentos vegetales. Se correlaciona con el vigor vegetal.</w:t>
      </w:r>
    </w:p>
    <w:p w:rsidR="00715711" w:rsidRDefault="00A778ED">
      <w:pPr>
        <w:numPr>
          <w:ilvl w:val="1"/>
          <w:numId w:val="6"/>
        </w:numPr>
        <w:pBdr>
          <w:top w:val="nil"/>
          <w:left w:val="nil"/>
          <w:bottom w:val="nil"/>
          <w:right w:val="nil"/>
          <w:between w:val="nil"/>
        </w:pBdr>
        <w:tabs>
          <w:tab w:val="left" w:pos="1394"/>
        </w:tabs>
        <w:spacing w:before="2" w:line="291" w:lineRule="auto"/>
        <w:ind w:right="113"/>
        <w:jc w:val="both"/>
        <w:rPr>
          <w:rFonts w:ascii="Calibri" w:eastAsia="Calibri" w:hAnsi="Calibri" w:cs="Calibri"/>
          <w:color w:val="000000"/>
          <w:sz w:val="24"/>
          <w:szCs w:val="24"/>
        </w:rPr>
      </w:pPr>
      <w:r>
        <w:rPr>
          <w:rFonts w:ascii="Times New Roman" w:eastAsia="Times New Roman" w:hAnsi="Times New Roman" w:cs="Times New Roman"/>
          <w:b/>
          <w:color w:val="000000"/>
          <w:sz w:val="24"/>
          <w:szCs w:val="24"/>
        </w:rPr>
        <w:t>Humedad (</w:t>
      </w:r>
      <w:proofErr w:type="spellStart"/>
      <w:r>
        <w:rPr>
          <w:rFonts w:ascii="Times New Roman" w:eastAsia="Times New Roman" w:hAnsi="Times New Roman" w:cs="Times New Roman"/>
          <w:b/>
          <w:color w:val="000000"/>
          <w:sz w:val="24"/>
          <w:szCs w:val="24"/>
        </w:rPr>
        <w:t>Wetness</w:t>
      </w:r>
      <w:proofErr w:type="spellEnd"/>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Corresponde al tercer componente de la TCT, es ortogonal a los dos anteriores y está asociado con la humedad del suelo, los cuerpos de agua y otras coberturas húmedas. Está influido por las bandas del infrarrojo medio.</w:t>
      </w:r>
    </w:p>
    <w:p w:rsidR="00715711" w:rsidRDefault="00A778ED">
      <w:pPr>
        <w:pBdr>
          <w:top w:val="nil"/>
          <w:left w:val="nil"/>
          <w:bottom w:val="nil"/>
          <w:right w:val="nil"/>
          <w:between w:val="nil"/>
        </w:pBdr>
        <w:spacing w:before="200" w:line="291" w:lineRule="auto"/>
        <w:ind w:right="1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Las firmas espectrales del </w:t>
      </w:r>
      <w:proofErr w:type="gramStart"/>
      <w:r>
        <w:rPr>
          <w:rFonts w:ascii="Times New Roman" w:eastAsia="Times New Roman" w:hAnsi="Times New Roman" w:cs="Times New Roman"/>
          <w:color w:val="000000"/>
          <w:sz w:val="24"/>
          <w:szCs w:val="24"/>
        </w:rPr>
        <w:t>suelo,</w:t>
      </w:r>
      <w:proofErr w:type="gramEnd"/>
      <w:r>
        <w:rPr>
          <w:rFonts w:ascii="Times New Roman" w:eastAsia="Times New Roman" w:hAnsi="Times New Roman" w:cs="Times New Roman"/>
          <w:color w:val="000000"/>
          <w:sz w:val="24"/>
          <w:szCs w:val="24"/>
        </w:rPr>
        <w:t xml:space="preserve"> pre</w:t>
      </w:r>
      <w:r>
        <w:rPr>
          <w:rFonts w:ascii="Times New Roman" w:eastAsia="Times New Roman" w:hAnsi="Times New Roman" w:cs="Times New Roman"/>
          <w:color w:val="000000"/>
          <w:sz w:val="24"/>
          <w:szCs w:val="24"/>
        </w:rPr>
        <w:t>sentan valores más altos en el componente Brillo, y valores más bajos en el componente Verdor.</w:t>
      </w:r>
    </w:p>
    <w:p w:rsidR="00715711" w:rsidRDefault="00A778ED">
      <w:pPr>
        <w:pBdr>
          <w:top w:val="nil"/>
          <w:left w:val="nil"/>
          <w:bottom w:val="nil"/>
          <w:right w:val="nil"/>
          <w:between w:val="nil"/>
        </w:pBdr>
        <w:spacing w:before="200"/>
        <w:ind w:left="313"/>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Como se muestra en las figuras más adelante, existen tres planos asociados con estos componentes:</w:t>
      </w:r>
    </w:p>
    <w:p w:rsidR="00715711" w:rsidRDefault="00715711">
      <w:pPr>
        <w:pBdr>
          <w:top w:val="nil"/>
          <w:left w:val="nil"/>
          <w:bottom w:val="nil"/>
          <w:right w:val="nil"/>
          <w:between w:val="nil"/>
        </w:pBdr>
        <w:spacing w:before="8"/>
        <w:rPr>
          <w:rFonts w:ascii="Times New Roman" w:eastAsia="Times New Roman" w:hAnsi="Times New Roman" w:cs="Times New Roman"/>
          <w:color w:val="000000"/>
        </w:rPr>
      </w:pPr>
    </w:p>
    <w:p w:rsidR="00715711" w:rsidRDefault="00A778ED">
      <w:pPr>
        <w:pStyle w:val="Ttulo3"/>
        <w:numPr>
          <w:ilvl w:val="0"/>
          <w:numId w:val="5"/>
        </w:numPr>
        <w:tabs>
          <w:tab w:val="left" w:pos="1033"/>
          <w:tab w:val="left" w:pos="1035"/>
        </w:tabs>
        <w:rPr>
          <w:rFonts w:ascii="Times New Roman" w:eastAsia="Times New Roman" w:hAnsi="Times New Roman" w:cs="Times New Roman"/>
        </w:rPr>
      </w:pPr>
      <w:r>
        <w:rPr>
          <w:rFonts w:ascii="Times New Roman" w:eastAsia="Times New Roman" w:hAnsi="Times New Roman" w:cs="Times New Roman"/>
        </w:rPr>
        <w:t>El plano de los suelos (espacio Brillo/Humedad)</w:t>
      </w:r>
    </w:p>
    <w:p w:rsidR="00715711" w:rsidRDefault="00A778ED">
      <w:pPr>
        <w:numPr>
          <w:ilvl w:val="0"/>
          <w:numId w:val="5"/>
        </w:numPr>
        <w:pBdr>
          <w:top w:val="nil"/>
          <w:left w:val="nil"/>
          <w:bottom w:val="nil"/>
          <w:right w:val="nil"/>
          <w:between w:val="nil"/>
        </w:pBdr>
        <w:tabs>
          <w:tab w:val="left" w:pos="1033"/>
          <w:tab w:val="left" w:pos="1035"/>
        </w:tabs>
        <w:spacing w:before="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El plano de transición (espacio verdor/Humedad)</w:t>
      </w:r>
    </w:p>
    <w:p w:rsidR="00715711" w:rsidRDefault="00947F6D">
      <w:pPr>
        <w:numPr>
          <w:ilvl w:val="0"/>
          <w:numId w:val="5"/>
        </w:numPr>
        <w:pBdr>
          <w:top w:val="nil"/>
          <w:left w:val="nil"/>
          <w:bottom w:val="nil"/>
          <w:right w:val="nil"/>
          <w:between w:val="nil"/>
        </w:pBdr>
        <w:tabs>
          <w:tab w:val="left" w:pos="1033"/>
          <w:tab w:val="left" w:pos="1035"/>
        </w:tabs>
        <w:spacing w:before="62"/>
        <w:rPr>
          <w:rFonts w:ascii="Times New Roman" w:eastAsia="Times New Roman" w:hAnsi="Times New Roman" w:cs="Times New Roman"/>
          <w:b/>
          <w:color w:val="000000"/>
          <w:sz w:val="24"/>
          <w:szCs w:val="24"/>
        </w:rPr>
      </w:pPr>
      <w:r>
        <w:rPr>
          <w:noProof/>
        </w:rPr>
        <w:drawing>
          <wp:anchor distT="0" distB="0" distL="0" distR="0" simplePos="0" relativeHeight="251660288" behindDoc="0" locked="0" layoutInCell="1" hidden="0" allowOverlap="1">
            <wp:simplePos x="0" y="0"/>
            <wp:positionH relativeFrom="column">
              <wp:posOffset>400050</wp:posOffset>
            </wp:positionH>
            <wp:positionV relativeFrom="paragraph">
              <wp:posOffset>795655</wp:posOffset>
            </wp:positionV>
            <wp:extent cx="4105275" cy="1413162"/>
            <wp:effectExtent l="0" t="0" r="0" b="0"/>
            <wp:wrapTopAndBottom distT="0" distB="0"/>
            <wp:docPr id="1558990613" name="image10.jpg"/>
            <wp:cNvGraphicFramePr/>
            <a:graphic xmlns:a="http://schemas.openxmlformats.org/drawingml/2006/main">
              <a:graphicData uri="http://schemas.openxmlformats.org/drawingml/2006/picture">
                <pic:pic xmlns:pic="http://schemas.openxmlformats.org/drawingml/2006/picture">
                  <pic:nvPicPr>
                    <pic:cNvPr id="0" name="image10.jpg"/>
                    <pic:cNvPicPr preferRelativeResize="0"/>
                  </pic:nvPicPr>
                  <pic:blipFill>
                    <a:blip r:embed="rId14"/>
                    <a:srcRect/>
                    <a:stretch>
                      <a:fillRect/>
                    </a:stretch>
                  </pic:blipFill>
                  <pic:spPr>
                    <a:xfrm>
                      <a:off x="0" y="0"/>
                      <a:ext cx="4105275" cy="1413162"/>
                    </a:xfrm>
                    <a:prstGeom prst="rect">
                      <a:avLst/>
                    </a:prstGeom>
                    <a:ln/>
                  </pic:spPr>
                </pic:pic>
              </a:graphicData>
            </a:graphic>
          </wp:anchor>
        </w:drawing>
      </w:r>
      <w:r w:rsidR="00A778ED">
        <w:rPr>
          <w:rFonts w:ascii="Times New Roman" w:eastAsia="Times New Roman" w:hAnsi="Times New Roman" w:cs="Times New Roman"/>
          <w:b/>
          <w:color w:val="000000"/>
          <w:sz w:val="24"/>
          <w:szCs w:val="24"/>
        </w:rPr>
        <w:t>El plano de la vegetación (espacio Brillo/Verdor).</w:t>
      </w:r>
    </w:p>
    <w:p w:rsidR="00715711" w:rsidRDefault="00A778ED">
      <w:pPr>
        <w:pBdr>
          <w:top w:val="nil"/>
          <w:left w:val="nil"/>
          <w:bottom w:val="nil"/>
          <w:right w:val="nil"/>
          <w:between w:val="nil"/>
        </w:pBdr>
        <w:rPr>
          <w:rFonts w:ascii="Times New Roman" w:eastAsia="Times New Roman" w:hAnsi="Times New Roman" w:cs="Times New Roman"/>
          <w:color w:val="000000"/>
          <w:sz w:val="24"/>
          <w:szCs w:val="24"/>
        </w:rPr>
      </w:pPr>
      <w:r>
        <w:pict>
          <v:group id="_x0000_s1050" style="width:441.9pt;height:152.45pt;mso-position-horizontal-relative:char;mso-position-vertical-relative:line" coordsize="9623,4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width:4402;height:4353">
              <v:imagedata r:id="rId15" o:title=""/>
            </v:shape>
            <v:shape id="_x0000_s1052" type="#_x0000_t75" style="position:absolute;left:4410;top:49;width:5213;height:4303">
              <v:imagedata r:id="rId16" o:title=""/>
            </v:shape>
            <w10:wrap type="none" anchorx="margin"/>
            <w10:anchorlock/>
          </v:group>
        </w:pict>
      </w:r>
    </w:p>
    <w:p w:rsidR="00715711" w:rsidRDefault="00715711">
      <w:pPr>
        <w:spacing w:before="36" w:line="291" w:lineRule="auto"/>
        <w:ind w:right="116"/>
        <w:jc w:val="both"/>
        <w:rPr>
          <w:rFonts w:ascii="Times New Roman" w:eastAsia="Times New Roman" w:hAnsi="Times New Roman" w:cs="Times New Roman"/>
          <w:sz w:val="24"/>
          <w:szCs w:val="24"/>
        </w:rPr>
      </w:pPr>
    </w:p>
    <w:p w:rsidR="00715711" w:rsidRDefault="00A778ED">
      <w:pPr>
        <w:spacing w:before="36" w:line="291" w:lineRule="auto"/>
        <w:ind w:left="313" w:right="116"/>
        <w:jc w:val="both"/>
        <w:rPr>
          <w:rFonts w:ascii="Times New Roman" w:eastAsia="Times New Roman" w:hAnsi="Times New Roman" w:cs="Times New Roman"/>
          <w:sz w:val="24"/>
          <w:szCs w:val="24"/>
        </w:rPr>
      </w:pPr>
      <w:bookmarkStart w:id="1" w:name="_heading=h.23fkbze7j4w6" w:colFirst="0" w:colLast="0"/>
      <w:bookmarkEnd w:id="1"/>
      <w:r>
        <w:rPr>
          <w:rFonts w:ascii="Times New Roman" w:eastAsia="Times New Roman" w:hAnsi="Times New Roman" w:cs="Times New Roman"/>
          <w:sz w:val="24"/>
          <w:szCs w:val="24"/>
        </w:rPr>
        <w:t xml:space="preserve">En el gráfico a) de dispersión 2D de la figura a continuación, entre </w:t>
      </w:r>
      <w:r w:rsidR="00947F6D">
        <w:rPr>
          <w:rFonts w:ascii="Times New Roman" w:eastAsia="Times New Roman" w:hAnsi="Times New Roman" w:cs="Times New Roman"/>
          <w:sz w:val="24"/>
          <w:szCs w:val="24"/>
        </w:rPr>
        <w:t>la banda</w:t>
      </w:r>
      <w:r>
        <w:rPr>
          <w:rFonts w:ascii="Times New Roman" w:eastAsia="Times New Roman" w:hAnsi="Times New Roman" w:cs="Times New Roman"/>
          <w:sz w:val="24"/>
          <w:szCs w:val="24"/>
        </w:rPr>
        <w:t xml:space="preserve"> R y NIR originales </w:t>
      </w:r>
      <w:r>
        <w:rPr>
          <w:rFonts w:ascii="Times New Roman" w:eastAsia="Times New Roman" w:hAnsi="Times New Roman" w:cs="Times New Roman"/>
          <w:b/>
          <w:sz w:val="24"/>
          <w:szCs w:val="24"/>
        </w:rPr>
        <w:t xml:space="preserve">se puede apreciar la denominada “línea de suelo”, </w:t>
      </w:r>
      <w:r>
        <w:rPr>
          <w:rFonts w:ascii="Times New Roman" w:eastAsia="Times New Roman" w:hAnsi="Times New Roman" w:cs="Times New Roman"/>
          <w:sz w:val="24"/>
          <w:szCs w:val="24"/>
        </w:rPr>
        <w:t xml:space="preserve">que corresponde a la recta diagonal ascendente que se forma en la parte baja de la nube de puntos. Esta línea </w:t>
      </w:r>
      <w:r>
        <w:rPr>
          <w:rFonts w:ascii="Times New Roman" w:eastAsia="Times New Roman" w:hAnsi="Times New Roman" w:cs="Times New Roman"/>
          <w:b/>
          <w:sz w:val="24"/>
          <w:szCs w:val="24"/>
        </w:rPr>
        <w:t>describe la variación espectral del suelo desnudo en el área seleccionada</w:t>
      </w:r>
      <w:r>
        <w:rPr>
          <w:rFonts w:ascii="Times New Roman" w:eastAsia="Times New Roman" w:hAnsi="Times New Roman" w:cs="Times New Roman"/>
          <w:sz w:val="24"/>
          <w:szCs w:val="24"/>
        </w:rPr>
        <w:t>. Esta línea se puede calcular mediante la localización de dos o más parc</w:t>
      </w:r>
      <w:r>
        <w:rPr>
          <w:rFonts w:ascii="Times New Roman" w:eastAsia="Times New Roman" w:hAnsi="Times New Roman" w:cs="Times New Roman"/>
          <w:sz w:val="24"/>
          <w:szCs w:val="24"/>
        </w:rPr>
        <w:t>hes de suelo desnudo que presenten diferentes valores de reflectividad y el ajuste de una regresión lineal entre estos en el espacio espectral</w:t>
      </w:r>
    </w:p>
    <w:p w:rsidR="00715711" w:rsidRDefault="00947F6D" w:rsidP="00947F6D">
      <w:pPr>
        <w:spacing w:before="36" w:line="291" w:lineRule="auto"/>
        <w:ind w:right="116"/>
        <w:rPr>
          <w:rFonts w:ascii="Times New Roman" w:eastAsia="Times New Roman" w:hAnsi="Times New Roman" w:cs="Times New Roman"/>
          <w:sz w:val="24"/>
          <w:szCs w:val="24"/>
        </w:rPr>
        <w:sectPr w:rsidR="00715711" w:rsidSect="00947F6D">
          <w:headerReference w:type="default" r:id="rId17"/>
          <w:footerReference w:type="default" r:id="rId18"/>
          <w:headerReference w:type="first" r:id="rId19"/>
          <w:pgSz w:w="12240" w:h="15840"/>
          <w:pgMar w:top="1417" w:right="1701" w:bottom="1417" w:left="1701" w:header="720" w:footer="720" w:gutter="0"/>
          <w:pgNumType w:start="1"/>
          <w:cols w:space="720" w:equalWidth="0">
            <w:col w:w="8057"/>
          </w:cols>
          <w:titlePg/>
          <w:docGrid w:linePitch="299"/>
        </w:sectPr>
      </w:pPr>
      <w:bookmarkStart w:id="2" w:name="_heading=h.kbddy0gcxr9v" w:colFirst="0" w:colLast="0"/>
      <w:bookmarkEnd w:id="2"/>
      <w:r>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3606165</wp:posOffset>
            </wp:positionH>
            <wp:positionV relativeFrom="paragraph">
              <wp:posOffset>752475</wp:posOffset>
            </wp:positionV>
            <wp:extent cx="2390775" cy="1619250"/>
            <wp:effectExtent l="0" t="0" r="9525" b="0"/>
            <wp:wrapNone/>
            <wp:docPr id="155899061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0">
                      <a:extLst>
                        <a:ext uri="{28A0092B-C50C-407E-A947-70E740481C1C}">
                          <a14:useLocalDpi xmlns:a14="http://schemas.microsoft.com/office/drawing/2010/main" val="0"/>
                        </a:ext>
                      </a:extLst>
                    </a:blip>
                    <a:srcRect/>
                    <a:stretch>
                      <a:fillRect/>
                    </a:stretch>
                  </pic:blipFill>
                  <pic:spPr>
                    <a:xfrm>
                      <a:off x="0" y="0"/>
                      <a:ext cx="2390775" cy="1619250"/>
                    </a:xfrm>
                    <a:prstGeom prst="rect">
                      <a:avLst/>
                    </a:prstGeom>
                    <a:ln/>
                  </pic:spPr>
                </pic:pic>
              </a:graphicData>
            </a:graphic>
            <wp14:sizeRelH relativeFrom="margin">
              <wp14:pctWidth>0</wp14:pctWidth>
            </wp14:sizeRelH>
            <wp14:sizeRelV relativeFrom="margin">
              <wp14:pctHeight>0</wp14:pctHeight>
            </wp14:sizeRelV>
          </wp:anchor>
        </w:drawing>
      </w:r>
      <w:r>
        <w:rPr>
          <w:noProof/>
        </w:rPr>
        <w:drawing>
          <wp:anchor distT="0" distB="0" distL="0" distR="0" simplePos="0" relativeHeight="251661312" behindDoc="1" locked="0" layoutInCell="1" hidden="0" allowOverlap="1">
            <wp:simplePos x="0" y="0"/>
            <wp:positionH relativeFrom="margin">
              <wp:align>left</wp:align>
            </wp:positionH>
            <wp:positionV relativeFrom="paragraph">
              <wp:posOffset>266700</wp:posOffset>
            </wp:positionV>
            <wp:extent cx="3381375" cy="2480945"/>
            <wp:effectExtent l="0" t="0" r="9525" b="0"/>
            <wp:wrapNone/>
            <wp:docPr id="1558990614"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21"/>
                    <a:srcRect/>
                    <a:stretch>
                      <a:fillRect/>
                    </a:stretch>
                  </pic:blipFill>
                  <pic:spPr>
                    <a:xfrm>
                      <a:off x="0" y="0"/>
                      <a:ext cx="3381375" cy="2480945"/>
                    </a:xfrm>
                    <a:prstGeom prst="rect">
                      <a:avLst/>
                    </a:prstGeom>
                    <a:ln/>
                  </pic:spPr>
                </pic:pic>
              </a:graphicData>
            </a:graphic>
            <wp14:sizeRelH relativeFrom="margin">
              <wp14:pctWidth>0</wp14:pctWidth>
            </wp14:sizeRelH>
            <wp14:sizeRelV relativeFrom="margin">
              <wp14:pctHeight>0</wp14:pctHeight>
            </wp14:sizeRelV>
          </wp:anchor>
        </w:drawing>
      </w:r>
    </w:p>
    <w:p w:rsidR="00715711" w:rsidRDefault="00715711">
      <w:pPr>
        <w:sectPr w:rsidR="00715711">
          <w:pgSz w:w="12240" w:h="15840"/>
          <w:pgMar w:top="1000" w:right="920" w:bottom="0" w:left="680" w:header="720" w:footer="720" w:gutter="0"/>
          <w:cols w:space="720" w:equalWidth="0">
            <w:col w:w="8838"/>
          </w:cols>
        </w:sectPr>
      </w:pPr>
    </w:p>
    <w:p w:rsidR="00715711" w:rsidRDefault="00715711">
      <w:pPr>
        <w:spacing w:before="36" w:line="291" w:lineRule="auto"/>
        <w:ind w:right="116"/>
        <w:jc w:val="both"/>
        <w:rPr>
          <w:sz w:val="24"/>
          <w:szCs w:val="24"/>
        </w:rPr>
      </w:pPr>
    </w:p>
    <w:sectPr w:rsidR="00715711">
      <w:pgSz w:w="12240" w:h="15840"/>
      <w:pgMar w:top="960" w:right="920" w:bottom="280" w:left="680" w:header="720" w:footer="720" w:gutter="0"/>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8ED" w:rsidRDefault="00A778ED">
      <w:r>
        <w:separator/>
      </w:r>
    </w:p>
  </w:endnote>
  <w:endnote w:type="continuationSeparator" w:id="0">
    <w:p w:rsidR="00A778ED" w:rsidRDefault="00A77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jaVu Serif">
    <w:altName w:val="Calibri"/>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11" w:rsidRDefault="00715711">
    <w:pPr>
      <w:ind w:left="360"/>
      <w:jc w:val="both"/>
      <w:rPr>
        <w:i/>
        <w:sz w:val="24"/>
        <w:szCs w:val="24"/>
      </w:rPr>
    </w:pPr>
  </w:p>
  <w:p w:rsidR="00715711" w:rsidRDefault="00715711">
    <w:pPr>
      <w:pBdr>
        <w:top w:val="nil"/>
        <w:left w:val="nil"/>
        <w:bottom w:val="nil"/>
        <w:right w:val="nil"/>
        <w:between w:val="nil"/>
      </w:pBdr>
      <w:tabs>
        <w:tab w:val="center" w:pos="4419"/>
        <w:tab w:val="right" w:pos="8838"/>
      </w:tabs>
      <w:rPr>
        <w:color w:val="000000"/>
      </w:rPr>
    </w:pPr>
  </w:p>
  <w:p w:rsidR="00715711" w:rsidRDefault="00715711">
    <w:pPr>
      <w:pBdr>
        <w:top w:val="nil"/>
        <w:left w:val="nil"/>
        <w:bottom w:val="nil"/>
        <w:right w:val="nil"/>
        <w:between w:val="nil"/>
      </w:pBdr>
      <w:tabs>
        <w:tab w:val="center" w:pos="4419"/>
        <w:tab w:val="right" w:pos="88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8ED" w:rsidRDefault="00A778ED">
      <w:r>
        <w:separator/>
      </w:r>
    </w:p>
  </w:footnote>
  <w:footnote w:type="continuationSeparator" w:id="0">
    <w:p w:rsidR="00A778ED" w:rsidRDefault="00A77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11" w:rsidRDefault="00715711">
    <w:pPr>
      <w:pBdr>
        <w:top w:val="nil"/>
        <w:left w:val="nil"/>
        <w:bottom w:val="nil"/>
        <w:right w:val="nil"/>
        <w:between w:val="nil"/>
      </w:pBdr>
      <w:tabs>
        <w:tab w:val="center" w:pos="4419"/>
        <w:tab w:val="right" w:pos="8838"/>
      </w:tabs>
      <w:rPr>
        <w:rFonts w:ascii="Times New Roman" w:eastAsia="Times New Roman" w:hAnsi="Times New Roman" w:cs="Times New Roman"/>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5711" w:rsidRDefault="00A778ED">
    <w:pPr>
      <w:tabs>
        <w:tab w:val="left" w:pos="6684"/>
      </w:tabs>
      <w:spacing w:before="33"/>
      <w:ind w:left="954"/>
      <w:rPr>
        <w:rFonts w:ascii="Times New Roman" w:eastAsia="Times New Roman" w:hAnsi="Times New Roman" w:cs="Times New Roman"/>
      </w:rPr>
    </w:pPr>
    <w:r>
      <w:rPr>
        <w:rFonts w:ascii="Times New Roman" w:eastAsia="Times New Roman" w:hAnsi="Times New Roman" w:cs="Times New Roman"/>
      </w:rPr>
      <w:t xml:space="preserve">Universidad de Chile                                                </w:t>
    </w:r>
    <w:r>
      <w:rPr>
        <w:rFonts w:ascii="Times New Roman" w:eastAsia="Times New Roman" w:hAnsi="Times New Roman" w:cs="Times New Roman"/>
      </w:rPr>
      <w:t xml:space="preserve"> Profesor Mauricio Galleguillos</w:t>
    </w:r>
    <w:r>
      <w:rPr>
        <w:noProof/>
      </w:rPr>
      <w:drawing>
        <wp:anchor distT="0" distB="0" distL="0" distR="0" simplePos="0" relativeHeight="251658240" behindDoc="0" locked="0" layoutInCell="1" hidden="0" allowOverlap="1">
          <wp:simplePos x="0" y="0"/>
          <wp:positionH relativeFrom="column">
            <wp:posOffset>28575</wp:posOffset>
          </wp:positionH>
          <wp:positionV relativeFrom="paragraph">
            <wp:posOffset>-300989</wp:posOffset>
          </wp:positionV>
          <wp:extent cx="382385" cy="756348"/>
          <wp:effectExtent l="0" t="0" r="0" b="0"/>
          <wp:wrapNone/>
          <wp:docPr id="6" name="image8.jpg"/>
          <wp:cNvGraphicFramePr/>
          <a:graphic xmlns:a="http://schemas.openxmlformats.org/drawingml/2006/main">
            <a:graphicData uri="http://schemas.openxmlformats.org/drawingml/2006/picture">
              <pic:pic xmlns:pic="http://schemas.openxmlformats.org/drawingml/2006/picture">
                <pic:nvPicPr>
                  <pic:cNvPr id="0" name="image8.jpg"/>
                  <pic:cNvPicPr preferRelativeResize="0"/>
                </pic:nvPicPr>
                <pic:blipFill>
                  <a:blip r:embed="rId1"/>
                  <a:srcRect/>
                  <a:stretch>
                    <a:fillRect/>
                  </a:stretch>
                </pic:blipFill>
                <pic:spPr>
                  <a:xfrm>
                    <a:off x="0" y="0"/>
                    <a:ext cx="382385" cy="756348"/>
                  </a:xfrm>
                  <a:prstGeom prst="rect">
                    <a:avLst/>
                  </a:prstGeom>
                  <a:ln/>
                </pic:spPr>
              </pic:pic>
            </a:graphicData>
          </a:graphic>
        </wp:anchor>
      </w:drawing>
    </w:r>
  </w:p>
  <w:p w:rsidR="00715711" w:rsidRDefault="00A778ED">
    <w:pPr>
      <w:tabs>
        <w:tab w:val="left" w:pos="6684"/>
      </w:tabs>
      <w:spacing w:before="33"/>
      <w:rPr>
        <w:rFonts w:ascii="Times New Roman" w:eastAsia="Times New Roman" w:hAnsi="Times New Roman" w:cs="Times New Roman"/>
      </w:rPr>
    </w:pPr>
    <w:r>
      <w:rPr>
        <w:rFonts w:ascii="Times New Roman" w:eastAsia="Times New Roman" w:hAnsi="Times New Roman" w:cs="Times New Roman"/>
      </w:rPr>
      <w:t xml:space="preserve">                 Facultad de Ciencias Agronómicas            </w:t>
    </w:r>
    <w:r>
      <w:rPr>
        <w:rFonts w:ascii="Times New Roman" w:eastAsia="Times New Roman" w:hAnsi="Times New Roman" w:cs="Times New Roman"/>
      </w:rPr>
      <w:t xml:space="preserve"> Ayudantes: Dav</w:t>
    </w:r>
    <w:r>
      <w:rPr>
        <w:rFonts w:ascii="Times New Roman" w:eastAsia="Times New Roman" w:hAnsi="Times New Roman" w:cs="Times New Roman"/>
      </w:rPr>
      <w:t>id Banda, Diego Dinamarca,</w:t>
    </w:r>
  </w:p>
  <w:p w:rsidR="00715711" w:rsidRDefault="00A778ED">
    <w:pPr>
      <w:tabs>
        <w:tab w:val="center" w:pos="4419"/>
        <w:tab w:val="right" w:pos="8838"/>
      </w:tabs>
    </w:pPr>
    <w:r>
      <w:rPr>
        <w:rFonts w:ascii="Times New Roman" w:eastAsia="Times New Roman" w:hAnsi="Times New Roman" w:cs="Times New Roman"/>
      </w:rPr>
      <w:t xml:space="preserve">                Ing. en Recursos Naturales Renovables   </w:t>
    </w:r>
    <w:r w:rsidR="00DE4155">
      <w:rPr>
        <w:rFonts w:ascii="Times New Roman" w:eastAsia="Times New Roman" w:hAnsi="Times New Roman" w:cs="Times New Roman"/>
      </w:rPr>
      <w:t xml:space="preserve"> </w:t>
    </w:r>
    <w:r>
      <w:rPr>
        <w:rFonts w:ascii="Times New Roman" w:eastAsia="Times New Roman" w:hAnsi="Times New Roman" w:cs="Times New Roman"/>
      </w:rPr>
      <w:t xml:space="preserve"> Jorge Herrera, Nicole Olguín y Constanza Vera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152735"/>
    <w:multiLevelType w:val="multilevel"/>
    <w:tmpl w:val="8BFE09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3A764D5"/>
    <w:multiLevelType w:val="multilevel"/>
    <w:tmpl w:val="2CE264B0"/>
    <w:lvl w:ilvl="0">
      <w:start w:val="1"/>
      <w:numFmt w:val="bullet"/>
      <w:lvlText w:val="-"/>
      <w:lvlJc w:val="left"/>
      <w:pPr>
        <w:ind w:left="1034" w:hanging="360"/>
      </w:pPr>
      <w:rPr>
        <w:rFonts w:ascii="Arial" w:eastAsia="Arial" w:hAnsi="Arial" w:cs="Arial"/>
        <w:sz w:val="24"/>
        <w:szCs w:val="24"/>
      </w:rPr>
    </w:lvl>
    <w:lvl w:ilvl="1">
      <w:start w:val="1"/>
      <w:numFmt w:val="bullet"/>
      <w:lvlText w:val="•"/>
      <w:lvlJc w:val="left"/>
      <w:pPr>
        <w:ind w:left="2000" w:hanging="360"/>
      </w:pPr>
    </w:lvl>
    <w:lvl w:ilvl="2">
      <w:start w:val="1"/>
      <w:numFmt w:val="bullet"/>
      <w:lvlText w:val="•"/>
      <w:lvlJc w:val="left"/>
      <w:pPr>
        <w:ind w:left="2960" w:hanging="360"/>
      </w:pPr>
    </w:lvl>
    <w:lvl w:ilvl="3">
      <w:start w:val="1"/>
      <w:numFmt w:val="bullet"/>
      <w:lvlText w:val="•"/>
      <w:lvlJc w:val="left"/>
      <w:pPr>
        <w:ind w:left="3920" w:hanging="360"/>
      </w:pPr>
    </w:lvl>
    <w:lvl w:ilvl="4">
      <w:start w:val="1"/>
      <w:numFmt w:val="bullet"/>
      <w:lvlText w:val="•"/>
      <w:lvlJc w:val="left"/>
      <w:pPr>
        <w:ind w:left="4880" w:hanging="360"/>
      </w:pPr>
    </w:lvl>
    <w:lvl w:ilvl="5">
      <w:start w:val="1"/>
      <w:numFmt w:val="bullet"/>
      <w:lvlText w:val="•"/>
      <w:lvlJc w:val="left"/>
      <w:pPr>
        <w:ind w:left="5840" w:hanging="360"/>
      </w:pPr>
    </w:lvl>
    <w:lvl w:ilvl="6">
      <w:start w:val="1"/>
      <w:numFmt w:val="bullet"/>
      <w:lvlText w:val="•"/>
      <w:lvlJc w:val="left"/>
      <w:pPr>
        <w:ind w:left="6800" w:hanging="360"/>
      </w:pPr>
    </w:lvl>
    <w:lvl w:ilvl="7">
      <w:start w:val="1"/>
      <w:numFmt w:val="bullet"/>
      <w:lvlText w:val="•"/>
      <w:lvlJc w:val="left"/>
      <w:pPr>
        <w:ind w:left="7760" w:hanging="360"/>
      </w:pPr>
    </w:lvl>
    <w:lvl w:ilvl="8">
      <w:start w:val="1"/>
      <w:numFmt w:val="bullet"/>
      <w:lvlText w:val="•"/>
      <w:lvlJc w:val="left"/>
      <w:pPr>
        <w:ind w:left="8720" w:hanging="360"/>
      </w:pPr>
    </w:lvl>
  </w:abstractNum>
  <w:abstractNum w:abstractNumId="2" w15:restartNumberingAfterBreak="0">
    <w:nsid w:val="299E43D0"/>
    <w:multiLevelType w:val="multilevel"/>
    <w:tmpl w:val="847856F2"/>
    <w:lvl w:ilvl="0">
      <w:start w:val="1"/>
      <w:numFmt w:val="upperRoman"/>
      <w:lvlText w:val="%1"/>
      <w:lvlJc w:val="left"/>
      <w:pPr>
        <w:ind w:left="434" w:hanging="121"/>
      </w:pPr>
      <w:rPr>
        <w:rFonts w:ascii="Arial" w:eastAsia="Arial" w:hAnsi="Arial" w:cs="Arial"/>
        <w:b/>
        <w:sz w:val="24"/>
        <w:szCs w:val="24"/>
      </w:rPr>
    </w:lvl>
    <w:lvl w:ilvl="1">
      <w:start w:val="1"/>
      <w:numFmt w:val="upperRoman"/>
      <w:lvlText w:val="(%2)"/>
      <w:lvlJc w:val="left"/>
      <w:pPr>
        <w:ind w:left="1394" w:hanging="720"/>
      </w:pPr>
      <w:rPr>
        <w:rFonts w:ascii="Arial" w:eastAsia="Arial" w:hAnsi="Arial" w:cs="Arial"/>
        <w:b/>
        <w:sz w:val="24"/>
        <w:szCs w:val="24"/>
      </w:rPr>
    </w:lvl>
    <w:lvl w:ilvl="2">
      <w:start w:val="1"/>
      <w:numFmt w:val="bullet"/>
      <w:lvlText w:val="•"/>
      <w:lvlJc w:val="left"/>
      <w:pPr>
        <w:ind w:left="1444" w:hanging="720"/>
      </w:pPr>
    </w:lvl>
    <w:lvl w:ilvl="3">
      <w:start w:val="1"/>
      <w:numFmt w:val="bullet"/>
      <w:lvlText w:val="•"/>
      <w:lvlJc w:val="left"/>
      <w:pPr>
        <w:ind w:left="1488" w:hanging="719"/>
      </w:pPr>
    </w:lvl>
    <w:lvl w:ilvl="4">
      <w:start w:val="1"/>
      <w:numFmt w:val="bullet"/>
      <w:lvlText w:val="•"/>
      <w:lvlJc w:val="left"/>
      <w:pPr>
        <w:ind w:left="1533" w:hanging="719"/>
      </w:pPr>
    </w:lvl>
    <w:lvl w:ilvl="5">
      <w:start w:val="1"/>
      <w:numFmt w:val="bullet"/>
      <w:lvlText w:val="•"/>
      <w:lvlJc w:val="left"/>
      <w:pPr>
        <w:ind w:left="1577" w:hanging="720"/>
      </w:pPr>
    </w:lvl>
    <w:lvl w:ilvl="6">
      <w:start w:val="1"/>
      <w:numFmt w:val="bullet"/>
      <w:lvlText w:val="•"/>
      <w:lvlJc w:val="left"/>
      <w:pPr>
        <w:ind w:left="1621" w:hanging="720"/>
      </w:pPr>
    </w:lvl>
    <w:lvl w:ilvl="7">
      <w:start w:val="1"/>
      <w:numFmt w:val="bullet"/>
      <w:lvlText w:val="•"/>
      <w:lvlJc w:val="left"/>
      <w:pPr>
        <w:ind w:left="1666" w:hanging="720"/>
      </w:pPr>
    </w:lvl>
    <w:lvl w:ilvl="8">
      <w:start w:val="1"/>
      <w:numFmt w:val="bullet"/>
      <w:lvlText w:val="•"/>
      <w:lvlJc w:val="left"/>
      <w:pPr>
        <w:ind w:left="1710" w:hanging="720"/>
      </w:pPr>
    </w:lvl>
  </w:abstractNum>
  <w:abstractNum w:abstractNumId="3" w15:restartNumberingAfterBreak="0">
    <w:nsid w:val="4A531995"/>
    <w:multiLevelType w:val="multilevel"/>
    <w:tmpl w:val="5C1E7C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18740DE"/>
    <w:multiLevelType w:val="multilevel"/>
    <w:tmpl w:val="A00A33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83C07F6"/>
    <w:multiLevelType w:val="multilevel"/>
    <w:tmpl w:val="1E88B256"/>
    <w:lvl w:ilvl="0">
      <w:start w:val="1"/>
      <w:numFmt w:val="upp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5711"/>
    <w:rsid w:val="00327621"/>
    <w:rsid w:val="00715711"/>
    <w:rsid w:val="00947F6D"/>
    <w:rsid w:val="00A778ED"/>
    <w:rsid w:val="00DE415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shapelayout>
  </w:shapeDefaults>
  <w:decimalSymbol w:val="."/>
  <w:listSeparator w:val=","/>
  <w14:docId w14:val="2696690B"/>
  <w15:docId w15:val="{82A5DF19-A8AF-479C-BB11-5C2423F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s-ES" w:eastAsia="es-CL" w:bidi="ar-S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s-ES" w:bidi="es-ES"/>
    </w:rPr>
  </w:style>
  <w:style w:type="paragraph" w:styleId="Ttulo1">
    <w:name w:val="heading 1"/>
    <w:basedOn w:val="Normal"/>
    <w:uiPriority w:val="9"/>
    <w:qFormat/>
    <w:pPr>
      <w:ind w:left="20"/>
      <w:outlineLvl w:val="0"/>
    </w:pPr>
    <w:rPr>
      <w:rFonts w:ascii="DejaVu Serif" w:eastAsia="DejaVu Serif" w:hAnsi="DejaVu Serif" w:cs="DejaVu Serif"/>
      <w:sz w:val="32"/>
      <w:szCs w:val="32"/>
    </w:rPr>
  </w:style>
  <w:style w:type="paragraph" w:styleId="Ttulo2">
    <w:name w:val="heading 2"/>
    <w:basedOn w:val="Normal"/>
    <w:uiPriority w:val="9"/>
    <w:unhideWhenUsed/>
    <w:qFormat/>
    <w:pPr>
      <w:ind w:left="446" w:right="251"/>
      <w:outlineLvl w:val="1"/>
    </w:pPr>
    <w:rPr>
      <w:i/>
      <w:sz w:val="28"/>
      <w:szCs w:val="28"/>
    </w:rPr>
  </w:style>
  <w:style w:type="paragraph" w:styleId="Ttulo3">
    <w:name w:val="heading 3"/>
    <w:basedOn w:val="Normal"/>
    <w:uiPriority w:val="9"/>
    <w:unhideWhenUsed/>
    <w:qFormat/>
    <w:pPr>
      <w:spacing w:before="1"/>
      <w:ind w:left="1034"/>
      <w:outlineLvl w:val="2"/>
    </w:pPr>
    <w:rPr>
      <w:b/>
      <w:bCs/>
      <w:sz w:val="24"/>
      <w:szCs w:val="24"/>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uiPriority w:val="1"/>
    <w:qFormat/>
    <w:rPr>
      <w:sz w:val="24"/>
      <w:szCs w:val="24"/>
    </w:rPr>
  </w:style>
  <w:style w:type="paragraph" w:styleId="Prrafodelista">
    <w:name w:val="List Paragraph"/>
    <w:basedOn w:val="Normal"/>
    <w:uiPriority w:val="34"/>
    <w:qFormat/>
    <w:pPr>
      <w:ind w:left="1034"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05AA5"/>
    <w:pPr>
      <w:tabs>
        <w:tab w:val="center" w:pos="4419"/>
        <w:tab w:val="right" w:pos="8838"/>
      </w:tabs>
    </w:pPr>
  </w:style>
  <w:style w:type="character" w:customStyle="1" w:styleId="EncabezadoCar">
    <w:name w:val="Encabezado Car"/>
    <w:basedOn w:val="Fuentedeprrafopredeter"/>
    <w:link w:val="Encabezado"/>
    <w:uiPriority w:val="99"/>
    <w:rsid w:val="00305AA5"/>
    <w:rPr>
      <w:rFonts w:ascii="Arial" w:eastAsia="Arial" w:hAnsi="Arial" w:cs="Arial"/>
      <w:lang w:val="es-ES" w:eastAsia="es-ES" w:bidi="es-ES"/>
    </w:rPr>
  </w:style>
  <w:style w:type="paragraph" w:styleId="Piedepgina">
    <w:name w:val="footer"/>
    <w:basedOn w:val="Normal"/>
    <w:link w:val="PiedepginaCar"/>
    <w:uiPriority w:val="99"/>
    <w:unhideWhenUsed/>
    <w:rsid w:val="00305AA5"/>
    <w:pPr>
      <w:tabs>
        <w:tab w:val="center" w:pos="4419"/>
        <w:tab w:val="right" w:pos="8838"/>
      </w:tabs>
    </w:pPr>
  </w:style>
  <w:style w:type="character" w:customStyle="1" w:styleId="PiedepginaCar">
    <w:name w:val="Pie de página Car"/>
    <w:basedOn w:val="Fuentedeprrafopredeter"/>
    <w:link w:val="Piedepgina"/>
    <w:uiPriority w:val="99"/>
    <w:rsid w:val="00305AA5"/>
    <w:rPr>
      <w:rFonts w:ascii="Arial" w:eastAsia="Arial" w:hAnsi="Arial" w:cs="Arial"/>
      <w:lang w:val="es-ES" w:eastAsia="es-ES" w:bidi="es-ES"/>
    </w:rPr>
  </w:style>
  <w:style w:type="paragraph" w:styleId="Sinespaciado">
    <w:name w:val="No Spacing"/>
    <w:uiPriority w:val="1"/>
    <w:qFormat/>
    <w:rsid w:val="00305AA5"/>
    <w:rPr>
      <w:lang w:eastAsia="es-ES" w:bidi="es-ES"/>
    </w:rPr>
  </w:style>
  <w:style w:type="character" w:styleId="Hipervnculo">
    <w:name w:val="Hyperlink"/>
    <w:basedOn w:val="Fuentedeprrafopredeter"/>
    <w:uiPriority w:val="99"/>
    <w:unhideWhenUsed/>
    <w:rsid w:val="004D2EE7"/>
    <w:rPr>
      <w:color w:val="0000FF" w:themeColor="hyperlink"/>
      <w:u w:val="single"/>
    </w:rPr>
  </w:style>
  <w:style w:type="character" w:styleId="Mencinsinresolver">
    <w:name w:val="Unresolved Mention"/>
    <w:basedOn w:val="Fuentedeprrafopredeter"/>
    <w:uiPriority w:val="99"/>
    <w:semiHidden/>
    <w:unhideWhenUsed/>
    <w:rsid w:val="00727178"/>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jp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q07rpH6uZ7+xrk7+ny3NKUOjKg==">AMUW2mXRGM4MXuwaTIdDV2kpaa2tsUa/xpugcMSZXW4LLI1VJ64NFdaM7oQ+RfVlxLMOiQ86ASBf6wDurG7dTXafZydovjtUV9nsVjkaNe51SOA1fINOtjcuvcHp6fNxrVojqKwQ6bZGU+8yuT7+A3ZEA/qfWfhMBg==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5142743-5A05-4FD5-BC07-68A5E9749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1171</Words>
  <Characters>6441</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Andres</dc:creator>
  <cp:lastModifiedBy>Win7Pro</cp:lastModifiedBy>
  <cp:revision>3</cp:revision>
  <dcterms:created xsi:type="dcterms:W3CDTF">2019-04-22T16:53:00Z</dcterms:created>
  <dcterms:modified xsi:type="dcterms:W3CDTF">2020-07-17T02:55:00Z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2017-05-16T00:00:00Z</vt:filetime>
  </property>
  <property fmtid="{D5CDD505-2E9C-101B-9397-08002B2CF9AE}" pid="3" name="Creator">
    <vt:lpwstr>Microsoft® Word 2013</vt:lpwstr>
  </property>
  <property fmtid="{D5CDD505-2E9C-101B-9397-08002B2CF9AE}" pid="4" name="LastSaved">
    <vt:filetime>2019-04-22T00:00:00Z</vt:filetime>
  </property>
</Properties>
</file>